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E6" w:rsidRDefault="00B703E6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0C51" w:rsidTr="0027289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1" w:rsidRDefault="00906B4F" w:rsidP="000C6278">
            <w:r>
              <w:t>A kurzus</w:t>
            </w:r>
            <w:r w:rsidR="00C73D4E">
              <w:t xml:space="preserve"> k</w:t>
            </w:r>
            <w:r w:rsidR="006C0C51">
              <w:t>ódja</w:t>
            </w:r>
            <w:r w:rsidR="00914654">
              <w:t>i</w:t>
            </w:r>
            <w:r w:rsidR="006C0C51" w:rsidRPr="00D70DCF">
              <w:t>:</w:t>
            </w:r>
            <w:r w:rsidR="00F04D94" w:rsidRPr="00D70DCF">
              <w:t xml:space="preserve"> </w:t>
            </w:r>
            <w:r w:rsidR="00914654" w:rsidRPr="00914654">
              <w:t>BBN-FIL18-312.01 BBN-FIL-312.02</w:t>
            </w:r>
            <w:r w:rsidR="00914654">
              <w:t xml:space="preserve"> </w:t>
            </w:r>
            <w:r w:rsidR="00914654" w:rsidRPr="00914654">
              <w:t>BMA-FILD-312.02</w:t>
            </w:r>
          </w:p>
        </w:tc>
      </w:tr>
      <w:tr w:rsidR="006C0C51" w:rsidTr="0027289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1" w:rsidRDefault="00906B4F" w:rsidP="00035CEB">
            <w:r>
              <w:t>A kurzus</w:t>
            </w:r>
            <w:r w:rsidR="00C73D4E">
              <w:t xml:space="preserve"> m</w:t>
            </w:r>
            <w:r w:rsidR="006C0C51">
              <w:t>egnevezése:</w:t>
            </w:r>
            <w:r w:rsidR="00F04D94">
              <w:t xml:space="preserve"> </w:t>
            </w:r>
            <w:r w:rsidR="00035CEB">
              <w:t>20. századi referenciaelméletek</w:t>
            </w:r>
          </w:p>
        </w:tc>
      </w:tr>
      <w:tr w:rsidR="003531EE" w:rsidTr="0027289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EE" w:rsidRDefault="003531EE" w:rsidP="00035CEB">
            <w:r>
              <w:t xml:space="preserve">A kurzus megnevezése angolul: </w:t>
            </w:r>
            <w:r w:rsidR="00035CEB">
              <w:t>Theories of Reference in the 20th. Century</w:t>
            </w:r>
          </w:p>
        </w:tc>
      </w:tr>
      <w:tr w:rsidR="006C0C51" w:rsidTr="0027289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A" w:rsidRDefault="00906B4F" w:rsidP="00B610E4">
            <w:r>
              <w:t>A kurzus</w:t>
            </w:r>
            <w:r w:rsidR="00C73D4E">
              <w:t xml:space="preserve"> e</w:t>
            </w:r>
            <w:r w:rsidR="006C0C51">
              <w:t>lőadója:</w:t>
            </w:r>
            <w:r w:rsidR="00F04D94">
              <w:t xml:space="preserve"> Márton Miklós</w:t>
            </w:r>
            <w:bookmarkStart w:id="0" w:name="_GoBack"/>
            <w:bookmarkEnd w:id="0"/>
          </w:p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Tr="0027289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7" w:rsidRDefault="000F12E7" w:rsidP="00B703E6">
            <w:r>
              <w:t>A jegyszerzés módja(i):</w:t>
            </w:r>
            <w:r w:rsidR="00F04D94">
              <w:t xml:space="preserve"> </w:t>
            </w:r>
            <w:r w:rsidR="00B610E4">
              <w:t>Félév végén eredményesen megírt zárthelyi dolgozat, MA-s hallgatóknak ezen felül egy házi dolgozat elkészítése</w:t>
            </w:r>
          </w:p>
        </w:tc>
      </w:tr>
    </w:tbl>
    <w:p w:rsidR="000F12E7" w:rsidRDefault="000F12E7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6E" w:rsidRDefault="00906B4F" w:rsidP="00B703E6">
            <w:r w:rsidRPr="008A1F80">
              <w:rPr>
                <w:i/>
              </w:rPr>
              <w:t>A kurzus</w:t>
            </w:r>
            <w:r w:rsidR="00AC0166" w:rsidRPr="008A1F80">
              <w:rPr>
                <w:i/>
              </w:rPr>
              <w:t xml:space="preserve"> l</w:t>
            </w:r>
            <w:r w:rsidR="00223F6E" w:rsidRPr="008A1F80">
              <w:rPr>
                <w:i/>
              </w:rPr>
              <w:t>eírása</w:t>
            </w:r>
            <w:r w:rsidR="00AC0166" w:rsidRPr="008A1F80">
              <w:rPr>
                <w:i/>
              </w:rPr>
              <w:t>, tematikája</w:t>
            </w:r>
            <w:r w:rsidR="00223F6E">
              <w:t>:</w:t>
            </w:r>
          </w:p>
          <w:p w:rsidR="00223F6E" w:rsidRDefault="00223F6E" w:rsidP="00B703E6"/>
          <w:p w:rsidR="00035CEB" w:rsidRDefault="000C6278" w:rsidP="000C6278">
            <w:r>
              <w:t xml:space="preserve">A nyelvi kifejezések referáló szerepéről szóló elméletek döntően meghatározták és máig meghatározzák a 20-21. század nyelvfilozófiai, elmefilozófiai diskurzusait. Ennek legfontosabb oka, hogy a referenciaelméletek hivatottak számot adni a valóság és a nyelv, illetve bizonyos értelmezések szerint a valóság és a gondolkodás viszonyát firtató hagyományos filozófiai kérdésekre. </w:t>
            </w:r>
            <w:r w:rsidR="00035CEB">
              <w:t>A kurzus során a Frege utáni analitikus nyelvfilozófiának a referencia kérdéséről adott fontosabb elméleteit tekintjük át, a különböző egyedileg referáló nyelvi kifejezések (</w:t>
            </w:r>
            <w:r w:rsidR="00F9672C">
              <w:t xml:space="preserve">határozott </w:t>
            </w:r>
            <w:r w:rsidR="00035CEB">
              <w:t xml:space="preserve">leírások, </w:t>
            </w:r>
            <w:r w:rsidR="00F9672C">
              <w:t>tulajdon</w:t>
            </w:r>
            <w:r w:rsidR="00035CEB">
              <w:t>nevek, mutatószók, névmások) szemantikájának keretében.</w:t>
            </w:r>
          </w:p>
          <w:p w:rsidR="000C6278" w:rsidRDefault="000C6278" w:rsidP="000C6278">
            <w:r>
              <w:t>A kurzus elvégzéséhez angol szövegolvasási készség szükséges.</w:t>
            </w:r>
          </w:p>
          <w:p w:rsidR="00223F6E" w:rsidRDefault="00223F6E" w:rsidP="00B703E6"/>
          <w:p w:rsidR="00662BC6" w:rsidRDefault="00662BC6" w:rsidP="00662BC6"/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80" w:rsidRDefault="008A1F80" w:rsidP="008A1F80">
            <w:r w:rsidRPr="008A1F80">
              <w:rPr>
                <w:i/>
              </w:rPr>
              <w:t>A kurzushoz tartozó irodalom</w:t>
            </w:r>
            <w:r w:rsidRPr="00D92CC4">
              <w:t>:</w:t>
            </w:r>
          </w:p>
          <w:p w:rsidR="00035CEB" w:rsidRPr="00D92CC4" w:rsidRDefault="00035CEB" w:rsidP="008A1F80"/>
          <w:p w:rsidR="00035CEB" w:rsidRDefault="00035CEB" w:rsidP="00035CEB">
            <w:r w:rsidRPr="001D7A01">
              <w:rPr>
                <w:u w:val="single"/>
              </w:rPr>
              <w:t>Általános áttekintést nyújtó szövegek</w:t>
            </w:r>
            <w:r>
              <w:t>:</w:t>
            </w:r>
          </w:p>
          <w:p w:rsidR="001E6E38" w:rsidRDefault="001E6E38" w:rsidP="001E6E38">
            <w:pPr>
              <w:ind w:left="1134" w:hanging="1134"/>
              <w:rPr>
                <w:color w:val="000000"/>
              </w:rPr>
            </w:pPr>
            <w:r w:rsidRPr="001E6E38">
              <w:rPr>
                <w:i/>
                <w:color w:val="000000"/>
              </w:rPr>
              <w:t>Magyarul</w:t>
            </w:r>
            <w:r>
              <w:rPr>
                <w:color w:val="000000"/>
              </w:rPr>
              <w:t>:</w:t>
            </w:r>
          </w:p>
          <w:p w:rsidR="001E6E38" w:rsidRPr="001E6E38" w:rsidRDefault="001E6E38" w:rsidP="001E6E38">
            <w:pPr>
              <w:ind w:left="1134" w:hanging="1134"/>
              <w:rPr>
                <w:color w:val="000000"/>
              </w:rPr>
            </w:pPr>
            <w:r w:rsidRPr="001E6E38">
              <w:rPr>
                <w:color w:val="000000"/>
              </w:rPr>
              <w:t xml:space="preserve">Farkas K. - Kelemen J.: </w:t>
            </w:r>
            <w:r w:rsidRPr="001E6E38">
              <w:rPr>
                <w:i/>
                <w:color w:val="000000"/>
              </w:rPr>
              <w:t>Nyelvfilozófia</w:t>
            </w:r>
            <w:r w:rsidRPr="001E6E38">
              <w:rPr>
                <w:color w:val="000000"/>
              </w:rPr>
              <w:t>. Áron Kiadó, Bp. 2002. III. fejezet</w:t>
            </w:r>
          </w:p>
          <w:p w:rsidR="001E6E38" w:rsidRPr="001E6E38" w:rsidRDefault="001E6E38" w:rsidP="001E6E38">
            <w:pPr>
              <w:ind w:left="142" w:hanging="142"/>
              <w:rPr>
                <w:color w:val="000000"/>
              </w:rPr>
            </w:pPr>
            <w:r w:rsidRPr="001E6E38">
              <w:rPr>
                <w:color w:val="000000"/>
              </w:rPr>
              <w:t>Mark Sainsbury</w:t>
            </w:r>
            <w:r w:rsidRPr="001E6E38">
              <w:rPr>
                <w:i/>
                <w:color w:val="000000"/>
              </w:rPr>
              <w:t xml:space="preserve">: </w:t>
            </w:r>
            <w:r w:rsidRPr="001E6E38">
              <w:rPr>
                <w:color w:val="000000"/>
              </w:rPr>
              <w:t xml:space="preserve">„Filozófiai logika” In: A. C. Grayling (szerk.): </w:t>
            </w:r>
            <w:r w:rsidRPr="001E6E38">
              <w:rPr>
                <w:i/>
                <w:color w:val="000000"/>
              </w:rPr>
              <w:t>Filozófiai kalauz</w:t>
            </w:r>
            <w:r w:rsidRPr="001E6E38">
              <w:rPr>
                <w:color w:val="000000"/>
              </w:rPr>
              <w:t>, Akadémiai Kiadó, Budapest 1997. 1-3. fejezet (pp77-105.)</w:t>
            </w:r>
          </w:p>
          <w:p w:rsidR="001E6E38" w:rsidRDefault="001E6E38" w:rsidP="001E6E38">
            <w:pPr>
              <w:ind w:left="1134" w:hanging="1134"/>
              <w:rPr>
                <w:color w:val="000000"/>
              </w:rPr>
            </w:pPr>
            <w:r w:rsidRPr="001E6E38">
              <w:rPr>
                <w:i/>
                <w:color w:val="000000"/>
              </w:rPr>
              <w:t>Angolul</w:t>
            </w:r>
            <w:r w:rsidRPr="001E6E38">
              <w:rPr>
                <w:color w:val="000000"/>
              </w:rPr>
              <w:t>:</w:t>
            </w:r>
          </w:p>
          <w:p w:rsidR="001E6E38" w:rsidRPr="001E6E38" w:rsidRDefault="001E6E38" w:rsidP="001E6E38">
            <w:pPr>
              <w:ind w:left="142" w:hanging="142"/>
              <w:rPr>
                <w:color w:val="000000"/>
              </w:rPr>
            </w:pPr>
            <w:r w:rsidRPr="001E6E38">
              <w:rPr>
                <w:color w:val="000000"/>
              </w:rPr>
              <w:t>Marga Reimer</w:t>
            </w:r>
            <w:r w:rsidRPr="001E6E38">
              <w:rPr>
                <w:i/>
                <w:color w:val="000000"/>
              </w:rPr>
              <w:t xml:space="preserve">: </w:t>
            </w:r>
            <w:r w:rsidRPr="001E6E38">
              <w:rPr>
                <w:color w:val="000000"/>
              </w:rPr>
              <w:t xml:space="preserve">„Reference” In: </w:t>
            </w:r>
            <w:r w:rsidRPr="001E6E38">
              <w:rPr>
                <w:i/>
                <w:color w:val="000000"/>
              </w:rPr>
              <w:t>The Stanford Encyclopedia of Philosophy</w:t>
            </w:r>
            <w:r w:rsidRPr="001E6E38">
              <w:rPr>
                <w:color w:val="000000"/>
              </w:rPr>
              <w:t xml:space="preserve"> </w:t>
            </w:r>
            <w:hyperlink r:id="rId7" w:history="1">
              <w:r w:rsidRPr="001E6E38">
                <w:rPr>
                  <w:rStyle w:val="Hiperhivatkozs"/>
                </w:rPr>
                <w:t>http://plato.stanford.edu/entries/reference/</w:t>
              </w:r>
            </w:hyperlink>
          </w:p>
          <w:p w:rsidR="000C6278" w:rsidRPr="000C6278" w:rsidRDefault="000C6278" w:rsidP="000C6278">
            <w:pPr>
              <w:tabs>
                <w:tab w:val="left" w:pos="-284"/>
              </w:tabs>
              <w:ind w:left="142" w:hanging="142"/>
              <w:rPr>
                <w:bCs/>
                <w:color w:val="000000"/>
              </w:rPr>
            </w:pPr>
            <w:r w:rsidRPr="000C6278">
              <w:rPr>
                <w:bCs/>
                <w:iCs/>
                <w:color w:val="000000"/>
              </w:rPr>
              <w:t>William G.</w:t>
            </w:r>
            <w:r w:rsidR="00DC166C">
              <w:rPr>
                <w:bCs/>
                <w:iCs/>
                <w:color w:val="000000"/>
              </w:rPr>
              <w:t xml:space="preserve"> </w:t>
            </w:r>
            <w:r w:rsidRPr="000C6278">
              <w:rPr>
                <w:bCs/>
                <w:iCs/>
                <w:color w:val="000000"/>
              </w:rPr>
              <w:t>Lycan</w:t>
            </w:r>
            <w:r>
              <w:rPr>
                <w:b/>
                <w:bCs/>
                <w:color w:val="000000"/>
              </w:rPr>
              <w:t>:</w:t>
            </w:r>
            <w:r w:rsidRPr="000C6278">
              <w:rPr>
                <w:b/>
                <w:bCs/>
                <w:color w:val="000000"/>
              </w:rPr>
              <w:t xml:space="preserve"> </w:t>
            </w:r>
            <w:r w:rsidRPr="000C6278">
              <w:rPr>
                <w:bCs/>
                <w:i/>
                <w:color w:val="000000"/>
              </w:rPr>
              <w:t>Philosophy Of Language. A Contemporary Introduction</w:t>
            </w:r>
            <w:r w:rsidR="00DC166C">
              <w:rPr>
                <w:bCs/>
                <w:color w:val="000000"/>
              </w:rPr>
              <w:t xml:space="preserve"> (Chapters 1-4)</w:t>
            </w:r>
            <w:r>
              <w:rPr>
                <w:bCs/>
                <w:color w:val="000000"/>
              </w:rPr>
              <w:t>, London-New York: Routledge</w:t>
            </w:r>
            <w:r w:rsidR="00DC166C">
              <w:rPr>
                <w:bCs/>
                <w:color w:val="000000"/>
              </w:rPr>
              <w:t>, 2000. (1-71.)</w:t>
            </w:r>
          </w:p>
          <w:p w:rsidR="00EA7D0D" w:rsidRDefault="00EA7D0D" w:rsidP="003D1695"/>
          <w:p w:rsidR="00035CEB" w:rsidRPr="00C401F6" w:rsidRDefault="00035CEB" w:rsidP="00035CEB">
            <w:pPr>
              <w:tabs>
                <w:tab w:val="left" w:pos="1026"/>
              </w:tabs>
              <w:ind w:left="1020" w:hanging="1020"/>
              <w:rPr>
                <w:color w:val="000000"/>
                <w:u w:val="single"/>
              </w:rPr>
            </w:pPr>
            <w:r w:rsidRPr="00C401F6">
              <w:rPr>
                <w:color w:val="000000"/>
                <w:u w:val="single"/>
              </w:rPr>
              <w:t>Az egyes témákhoz kapcsolódó irodalmak:</w:t>
            </w:r>
          </w:p>
          <w:p w:rsidR="00035CEB" w:rsidRPr="00C401F6" w:rsidRDefault="00035CEB" w:rsidP="00035CEB">
            <w:pPr>
              <w:numPr>
                <w:ilvl w:val="0"/>
                <w:numId w:val="3"/>
              </w:numPr>
              <w:tabs>
                <w:tab w:val="clear" w:pos="720"/>
                <w:tab w:val="left" w:pos="342"/>
              </w:tabs>
              <w:ind w:left="342"/>
              <w:rPr>
                <w:i/>
                <w:color w:val="000000"/>
              </w:rPr>
            </w:pPr>
            <w:r w:rsidRPr="00C401F6">
              <w:rPr>
                <w:i/>
                <w:color w:val="000000"/>
              </w:rPr>
              <w:t>Frege: Értelem és referencia</w:t>
            </w:r>
          </w:p>
          <w:p w:rsidR="00035CEB" w:rsidRPr="00C401F6" w:rsidRDefault="00035CEB" w:rsidP="00035CEB">
            <w:pPr>
              <w:numPr>
                <w:ilvl w:val="0"/>
                <w:numId w:val="5"/>
              </w:numPr>
              <w:tabs>
                <w:tab w:val="clear" w:pos="360"/>
                <w:tab w:val="left" w:pos="-180"/>
                <w:tab w:val="left" w:pos="342"/>
                <w:tab w:val="left" w:pos="1800"/>
              </w:tabs>
              <w:rPr>
                <w:i/>
              </w:rPr>
            </w:pPr>
            <w:r w:rsidRPr="00C401F6">
              <w:t>Frege, Gottlob: „Jelentés és jelölet”</w:t>
            </w:r>
            <w:r w:rsidR="00F9672C">
              <w:t>, ford.: Máté András,</w:t>
            </w:r>
            <w:r w:rsidRPr="00C401F6">
              <w:rPr>
                <w:i/>
              </w:rPr>
              <w:t xml:space="preserve"> </w:t>
            </w:r>
            <w:r w:rsidR="00F9672C" w:rsidRPr="00F9672C">
              <w:t>i</w:t>
            </w:r>
            <w:r w:rsidRPr="00C401F6">
              <w:t xml:space="preserve">n: </w:t>
            </w:r>
            <w:r w:rsidRPr="00C401F6">
              <w:rPr>
                <w:i/>
                <w:iCs/>
              </w:rPr>
              <w:t>Logikai vizsgálódások</w:t>
            </w:r>
            <w:r w:rsidRPr="00C401F6">
              <w:t>. Osiris, B</w:t>
            </w:r>
            <w:r w:rsidR="00F9672C">
              <w:t>uda</w:t>
            </w:r>
            <w:r w:rsidRPr="00C401F6">
              <w:t>p</w:t>
            </w:r>
            <w:r w:rsidR="00F9672C">
              <w:t>est,</w:t>
            </w:r>
            <w:r w:rsidRPr="00C401F6">
              <w:t xml:space="preserve"> 2000., 118-148</w:t>
            </w:r>
          </w:p>
          <w:p w:rsidR="00035CEB" w:rsidRPr="001E6E38" w:rsidRDefault="00035CEB" w:rsidP="00035CEB">
            <w:pPr>
              <w:numPr>
                <w:ilvl w:val="0"/>
                <w:numId w:val="5"/>
              </w:numPr>
              <w:tabs>
                <w:tab w:val="clear" w:pos="360"/>
                <w:tab w:val="left" w:pos="-180"/>
                <w:tab w:val="left" w:pos="342"/>
                <w:tab w:val="left" w:pos="1800"/>
              </w:tabs>
              <w:rPr>
                <w:color w:val="000000"/>
              </w:rPr>
            </w:pPr>
            <w:r w:rsidRPr="00C401F6">
              <w:t>Frege, Gottlob: „Logikai vizsgálódások. A gondolat”</w:t>
            </w:r>
            <w:r w:rsidR="00F9672C">
              <w:t>,</w:t>
            </w:r>
            <w:r w:rsidRPr="00C401F6">
              <w:rPr>
                <w:i/>
              </w:rPr>
              <w:t xml:space="preserve"> </w:t>
            </w:r>
            <w:r w:rsidR="00F9672C">
              <w:t>ford.: Máté András,</w:t>
            </w:r>
            <w:r w:rsidR="00F9672C" w:rsidRPr="00C401F6">
              <w:rPr>
                <w:i/>
              </w:rPr>
              <w:t xml:space="preserve"> </w:t>
            </w:r>
            <w:r w:rsidR="00F9672C" w:rsidRPr="00F9672C">
              <w:t>i</w:t>
            </w:r>
            <w:r w:rsidR="00F9672C" w:rsidRPr="00C401F6">
              <w:t>n</w:t>
            </w:r>
            <w:r w:rsidR="00F9672C">
              <w:t>:</w:t>
            </w:r>
            <w:r w:rsidR="00F9672C" w:rsidRPr="00C401F6">
              <w:rPr>
                <w:i/>
                <w:iCs/>
              </w:rPr>
              <w:t xml:space="preserve"> </w:t>
            </w:r>
            <w:r w:rsidRPr="00C401F6">
              <w:rPr>
                <w:i/>
                <w:iCs/>
              </w:rPr>
              <w:t xml:space="preserve">Logikai vizsgálódások </w:t>
            </w:r>
            <w:r w:rsidRPr="00C401F6">
              <w:rPr>
                <w:iCs/>
              </w:rPr>
              <w:t>191-218.</w:t>
            </w:r>
          </w:p>
          <w:p w:rsidR="001E6E38" w:rsidRPr="001E6E38" w:rsidRDefault="001E6E38" w:rsidP="00035CEB">
            <w:pPr>
              <w:numPr>
                <w:ilvl w:val="0"/>
                <w:numId w:val="5"/>
              </w:numPr>
              <w:tabs>
                <w:tab w:val="clear" w:pos="360"/>
                <w:tab w:val="left" w:pos="-180"/>
                <w:tab w:val="left" w:pos="342"/>
                <w:tab w:val="left" w:pos="1800"/>
              </w:tabs>
              <w:rPr>
                <w:color w:val="000000"/>
              </w:rPr>
            </w:pPr>
            <w:r w:rsidRPr="00C401F6">
              <w:rPr>
                <w:color w:val="000000"/>
              </w:rPr>
              <w:t xml:space="preserve">Evans, Gareth: „Frege” In: uő.: </w:t>
            </w:r>
            <w:r w:rsidRPr="00C401F6">
              <w:rPr>
                <w:i/>
                <w:color w:val="000000"/>
              </w:rPr>
              <w:t>The Varieties of Reference.</w:t>
            </w:r>
            <w:r w:rsidRPr="00C401F6">
              <w:t xml:space="preserve"> Clarendon Press, Oxford 1982. I/1.</w:t>
            </w:r>
          </w:p>
          <w:p w:rsidR="00035CEB" w:rsidRPr="00C401F6" w:rsidRDefault="00035CEB" w:rsidP="00035CEB">
            <w:pPr>
              <w:tabs>
                <w:tab w:val="left" w:pos="342"/>
              </w:tabs>
              <w:ind w:left="-18"/>
              <w:jc w:val="center"/>
              <w:rPr>
                <w:i/>
                <w:color w:val="000000"/>
              </w:rPr>
            </w:pPr>
          </w:p>
          <w:p w:rsidR="00035CEB" w:rsidRPr="00C401F6" w:rsidRDefault="00035CEB" w:rsidP="00035CEB">
            <w:pPr>
              <w:numPr>
                <w:ilvl w:val="0"/>
                <w:numId w:val="3"/>
              </w:numPr>
              <w:tabs>
                <w:tab w:val="clear" w:pos="720"/>
                <w:tab w:val="left" w:pos="342"/>
              </w:tabs>
              <w:ind w:left="342"/>
              <w:rPr>
                <w:i/>
                <w:color w:val="000000"/>
              </w:rPr>
            </w:pPr>
            <w:r w:rsidRPr="00C401F6">
              <w:rPr>
                <w:i/>
                <w:color w:val="000000"/>
              </w:rPr>
              <w:t>Leírások</w:t>
            </w:r>
          </w:p>
          <w:p w:rsidR="00035CEB" w:rsidRPr="00C401F6" w:rsidRDefault="00035CEB" w:rsidP="00035CEB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1026"/>
              </w:tabs>
              <w:ind w:left="342"/>
              <w:rPr>
                <w:color w:val="000000"/>
              </w:rPr>
            </w:pPr>
            <w:r w:rsidRPr="00C401F6">
              <w:t xml:space="preserve">Donnellan Keith: „Reference and Definite Descriptions” In: </w:t>
            </w:r>
            <w:r w:rsidRPr="00C401F6">
              <w:rPr>
                <w:i/>
              </w:rPr>
              <w:t xml:space="preserve">The Philosophical Review </w:t>
            </w:r>
            <w:r w:rsidRPr="00C401F6">
              <w:t>77 (1966)</w:t>
            </w:r>
            <w:r w:rsidR="00F9672C">
              <w:t>,</w:t>
            </w:r>
            <w:r w:rsidRPr="00C401F6">
              <w:t xml:space="preserve"> 281-304.</w:t>
            </w:r>
          </w:p>
          <w:p w:rsidR="00035CEB" w:rsidRPr="00C401F6" w:rsidRDefault="00035CEB" w:rsidP="00035CEB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1026"/>
              </w:tabs>
              <w:ind w:left="342"/>
              <w:rPr>
                <w:color w:val="000000"/>
              </w:rPr>
            </w:pPr>
            <w:r w:rsidRPr="00C401F6">
              <w:lastRenderedPageBreak/>
              <w:t xml:space="preserve">Kripke, Saul: „Speaker’s Reference and Semantic Reference” In: French-Uehling-Wettstein (eds.): </w:t>
            </w:r>
            <w:r w:rsidRPr="00C401F6">
              <w:rPr>
                <w:i/>
              </w:rPr>
              <w:t>Studies in the Philosophy of Language</w:t>
            </w:r>
            <w:r w:rsidRPr="00C401F6">
              <w:t>, Midwest Studies in Philosophy, no. 2, University of Mi</w:t>
            </w:r>
            <w:r w:rsidR="00E0018D">
              <w:t>nnesota Press, Minneapolis 1977, 255-276</w:t>
            </w:r>
          </w:p>
          <w:p w:rsidR="00035CEB" w:rsidRPr="000C6278" w:rsidRDefault="00035CEB" w:rsidP="00E0018D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1026"/>
              </w:tabs>
              <w:ind w:left="342"/>
            </w:pPr>
            <w:r w:rsidRPr="000C6278">
              <w:t>Russell, Bertrand: „</w:t>
            </w:r>
            <w:r w:rsidRPr="000C6278">
              <w:rPr>
                <w:iCs/>
              </w:rPr>
              <w:t>A denotálásról”</w:t>
            </w:r>
            <w:r w:rsidR="00F9672C" w:rsidRPr="000C6278">
              <w:rPr>
                <w:iCs/>
              </w:rPr>
              <w:t>, ford.: Simonyi</w:t>
            </w:r>
            <w:r w:rsidRPr="000C6278">
              <w:t xml:space="preserve"> </w:t>
            </w:r>
            <w:r w:rsidR="00F9672C" w:rsidRPr="000C6278">
              <w:t xml:space="preserve">András, </w:t>
            </w:r>
            <w:r w:rsidR="00F9672C" w:rsidRPr="000C6278">
              <w:rPr>
                <w:i/>
              </w:rPr>
              <w:t>Világosság</w:t>
            </w:r>
            <w:r w:rsidR="00F9672C" w:rsidRPr="000C6278">
              <w:t xml:space="preserve"> 2005/12, 5-16.</w:t>
            </w:r>
          </w:p>
          <w:p w:rsidR="00035CEB" w:rsidRPr="00C401F6" w:rsidRDefault="00035CEB" w:rsidP="00035CEB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C401F6">
              <w:t>Strawson, Peter F.: „</w:t>
            </w:r>
            <w:r w:rsidRPr="00C401F6">
              <w:rPr>
                <w:iCs/>
              </w:rPr>
              <w:t>A referálásról”</w:t>
            </w:r>
            <w:r w:rsidR="00F9672C">
              <w:rPr>
                <w:iCs/>
              </w:rPr>
              <w:t>, ford. megjelölése nélkül, i</w:t>
            </w:r>
            <w:r w:rsidRPr="00C401F6">
              <w:t xml:space="preserve">n: </w:t>
            </w:r>
            <w:r w:rsidRPr="00035CEB">
              <w:t xml:space="preserve">Copi-Gould (szerk.): </w:t>
            </w:r>
            <w:r w:rsidRPr="00035CEB">
              <w:rPr>
                <w:i/>
                <w:iCs/>
              </w:rPr>
              <w:t>Kortárs tanulmányok a logikaelmélet köréből</w:t>
            </w:r>
            <w:r w:rsidRPr="00035CEB">
              <w:t>. Gondolat, Bp. 1985</w:t>
            </w:r>
            <w:r>
              <w:t xml:space="preserve"> </w:t>
            </w:r>
            <w:r w:rsidRPr="00C401F6">
              <w:t>167-207.</w:t>
            </w:r>
          </w:p>
          <w:p w:rsidR="00035CEB" w:rsidRPr="00C401F6" w:rsidRDefault="00035CEB" w:rsidP="00035CEB">
            <w:pPr>
              <w:tabs>
                <w:tab w:val="left" w:pos="720"/>
                <w:tab w:val="left" w:pos="1800"/>
              </w:tabs>
              <w:ind w:left="-18"/>
            </w:pPr>
          </w:p>
          <w:p w:rsidR="00035CEB" w:rsidRPr="00C401F6" w:rsidRDefault="00035CEB" w:rsidP="00035CEB">
            <w:pPr>
              <w:numPr>
                <w:ilvl w:val="0"/>
                <w:numId w:val="3"/>
              </w:numPr>
              <w:tabs>
                <w:tab w:val="clear" w:pos="720"/>
                <w:tab w:val="left" w:pos="342"/>
              </w:tabs>
              <w:ind w:left="342"/>
            </w:pPr>
            <w:r w:rsidRPr="00C401F6">
              <w:rPr>
                <w:i/>
              </w:rPr>
              <w:t>Nevek</w:t>
            </w:r>
          </w:p>
          <w:p w:rsidR="00035CEB" w:rsidRPr="00C401F6" w:rsidRDefault="00035CEB" w:rsidP="00035CEB">
            <w:pPr>
              <w:tabs>
                <w:tab w:val="left" w:pos="342"/>
              </w:tabs>
              <w:ind w:left="-18"/>
              <w:rPr>
                <w:i/>
              </w:rPr>
            </w:pPr>
            <w:r w:rsidRPr="00C401F6">
              <w:rPr>
                <w:i/>
              </w:rPr>
              <w:t>3.1. Leíró elmélet</w:t>
            </w:r>
          </w:p>
          <w:p w:rsidR="001E6E38" w:rsidRPr="00C401F6" w:rsidRDefault="001E6E38" w:rsidP="001E6E38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C401F6">
              <w:rPr>
                <w:iCs/>
              </w:rPr>
              <w:t xml:space="preserve">Burge, Tyler: „Reference and Proper Names” In: </w:t>
            </w:r>
            <w:r w:rsidRPr="00C401F6">
              <w:rPr>
                <w:i/>
                <w:iCs/>
              </w:rPr>
              <w:t>The Journal of Philosophy</w:t>
            </w:r>
            <w:r w:rsidRPr="00C401F6">
              <w:rPr>
                <w:iCs/>
              </w:rPr>
              <w:t xml:space="preserve"> 70 (1973) 425-439.</w:t>
            </w:r>
          </w:p>
          <w:p w:rsidR="00035CEB" w:rsidRPr="00C401F6" w:rsidRDefault="00035CEB" w:rsidP="00035CEB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C401F6">
              <w:t>Frege, Gottlob: „Logikai vizsgálódások. A gondolat”</w:t>
            </w:r>
            <w:r w:rsidRPr="00C401F6">
              <w:rPr>
                <w:i/>
              </w:rPr>
              <w:t xml:space="preserve"> </w:t>
            </w:r>
            <w:r w:rsidRPr="00C401F6">
              <w:t xml:space="preserve">In: </w:t>
            </w:r>
            <w:r w:rsidRPr="00C401F6">
              <w:rPr>
                <w:i/>
                <w:iCs/>
              </w:rPr>
              <w:t>Logikai vizsgálódások</w:t>
            </w:r>
            <w:r w:rsidR="00E0018D">
              <w:rPr>
                <w:iCs/>
              </w:rPr>
              <w:t>,</w:t>
            </w:r>
            <w:r w:rsidRPr="00C401F6">
              <w:rPr>
                <w:i/>
                <w:iCs/>
              </w:rPr>
              <w:t xml:space="preserve"> </w:t>
            </w:r>
            <w:r w:rsidRPr="00C401F6">
              <w:rPr>
                <w:iCs/>
              </w:rPr>
              <w:t>191-218.</w:t>
            </w:r>
          </w:p>
          <w:p w:rsidR="001E6E38" w:rsidRPr="00C401F6" w:rsidRDefault="001E6E38" w:rsidP="001E6E38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C401F6">
              <w:rPr>
                <w:iCs/>
              </w:rPr>
              <w:t>Russell, Bertrand</w:t>
            </w:r>
            <w:r w:rsidRPr="00C401F6">
              <w:t xml:space="preserve">: </w:t>
            </w:r>
            <w:r w:rsidRPr="00C401F6">
              <w:rPr>
                <w:i/>
                <w:iCs/>
              </w:rPr>
              <w:t>A filozófia alapproblémái</w:t>
            </w:r>
            <w:r w:rsidRPr="00C401F6">
              <w:rPr>
                <w:iCs/>
              </w:rPr>
              <w:t>, Kossuth Kiadó, Budapest 1991. 5. fejezet</w:t>
            </w:r>
          </w:p>
          <w:p w:rsidR="00035CEB" w:rsidRPr="001E6E38" w:rsidRDefault="00035CEB" w:rsidP="00035CEB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C401F6">
              <w:rPr>
                <w:iCs/>
              </w:rPr>
              <w:t>Russell, Bertrand: „Tudás ismer</w:t>
            </w:r>
            <w:r w:rsidR="00B223F5">
              <w:rPr>
                <w:iCs/>
              </w:rPr>
              <w:t>e</w:t>
            </w:r>
            <w:r w:rsidRPr="00C401F6">
              <w:rPr>
                <w:iCs/>
              </w:rPr>
              <w:t>tség révén és tudás leírás révén” In: uő.:</w:t>
            </w:r>
            <w:r w:rsidRPr="00C401F6">
              <w:rPr>
                <w:i/>
                <w:iCs/>
              </w:rPr>
              <w:t>Miszticizmus és Logika</w:t>
            </w:r>
            <w:r w:rsidR="00E0018D">
              <w:rPr>
                <w:iCs/>
              </w:rPr>
              <w:t xml:space="preserve">, Magyar Helikon, 1976, </w:t>
            </w:r>
            <w:r w:rsidRPr="00C401F6">
              <w:rPr>
                <w:iCs/>
              </w:rPr>
              <w:t>339-376.</w:t>
            </w:r>
          </w:p>
          <w:p w:rsidR="00035CEB" w:rsidRDefault="007E3686" w:rsidP="007E3686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6F1876">
              <w:t>Searle</w:t>
            </w:r>
            <w:r>
              <w:t>, John R.</w:t>
            </w:r>
            <w:r w:rsidRPr="006F1876">
              <w:t xml:space="preserve">: </w:t>
            </w:r>
            <w:r w:rsidRPr="006F1876">
              <w:rPr>
                <w:i/>
              </w:rPr>
              <w:t>Beszédaktusok</w:t>
            </w:r>
            <w:r>
              <w:t>,</w:t>
            </w:r>
            <w:r w:rsidRPr="006F1876">
              <w:t xml:space="preserve"> </w:t>
            </w:r>
            <w:r>
              <w:t>f</w:t>
            </w:r>
            <w:r w:rsidRPr="006F1876">
              <w:t>ord</w:t>
            </w:r>
            <w:r>
              <w:t>.: Bárány Tibor,</w:t>
            </w:r>
            <w:r w:rsidRPr="006F1876">
              <w:t xml:space="preserve"> Budapest: Gondolat</w:t>
            </w:r>
            <w:r>
              <w:t xml:space="preserve"> Kiadó, 2009., 7.2 Tulajdonnevek (79-90.)</w:t>
            </w:r>
          </w:p>
          <w:p w:rsidR="00DC166C" w:rsidRDefault="00DC166C" w:rsidP="007E3686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6F1876">
              <w:t>Searle</w:t>
            </w:r>
            <w:r>
              <w:t>, John R.</w:t>
            </w:r>
            <w:r w:rsidRPr="006F1876">
              <w:t>:</w:t>
            </w:r>
            <w:r>
              <w:t xml:space="preserve"> </w:t>
            </w:r>
            <w:r w:rsidRPr="00DC166C">
              <w:rPr>
                <w:i/>
              </w:rPr>
              <w:t>Intentionality</w:t>
            </w:r>
            <w:r>
              <w:t xml:space="preserve"> (Chapter 9), Oxford: Oxford University Press, 1983. 231-260.</w:t>
            </w:r>
          </w:p>
          <w:p w:rsidR="00EC4AD4" w:rsidRPr="00C401F6" w:rsidRDefault="00EC4AD4" w:rsidP="00EC4AD4">
            <w:pPr>
              <w:tabs>
                <w:tab w:val="left" w:pos="1800"/>
              </w:tabs>
              <w:ind w:left="342"/>
            </w:pPr>
          </w:p>
          <w:p w:rsidR="00035CEB" w:rsidRPr="00C401F6" w:rsidRDefault="00035CEB" w:rsidP="00035CEB">
            <w:pPr>
              <w:tabs>
                <w:tab w:val="left" w:pos="1800"/>
              </w:tabs>
              <w:ind w:left="-18"/>
              <w:rPr>
                <w:i/>
              </w:rPr>
            </w:pPr>
            <w:r w:rsidRPr="00C401F6">
              <w:rPr>
                <w:i/>
              </w:rPr>
              <w:t>3.2. Oksági elmélet</w:t>
            </w:r>
          </w:p>
          <w:p w:rsidR="00035CEB" w:rsidRPr="00C401F6" w:rsidRDefault="00035CEB" w:rsidP="00035CEB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C401F6">
              <w:t xml:space="preserve">Evans, Gareth: „The Causal Theory of Names” In: </w:t>
            </w:r>
            <w:r w:rsidRPr="00C401F6">
              <w:rPr>
                <w:i/>
              </w:rPr>
              <w:t>Aristotelean Society</w:t>
            </w:r>
            <w:r w:rsidRPr="00C401F6">
              <w:t>, suppl. vol. 47 (1973) 187-208.</w:t>
            </w:r>
          </w:p>
          <w:p w:rsidR="00035CEB" w:rsidRPr="00C401F6" w:rsidRDefault="00035CEB" w:rsidP="00035CEB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 w:right="-1"/>
            </w:pPr>
            <w:r w:rsidRPr="00C401F6">
              <w:t xml:space="preserve">Kripke, Saul: </w:t>
            </w:r>
            <w:r w:rsidR="0042334C">
              <w:rPr>
                <w:i/>
              </w:rPr>
              <w:t>Megnevezés és szükségszerűség</w:t>
            </w:r>
            <w:r w:rsidR="007E3686">
              <w:rPr>
                <w:i/>
              </w:rPr>
              <w:t xml:space="preserve">, </w:t>
            </w:r>
            <w:r w:rsidR="00E0018D">
              <w:t xml:space="preserve">ford.: Bárány Tibor, Akadémiai Kiadó Budapest, 2007, </w:t>
            </w:r>
            <w:r w:rsidR="007E3686" w:rsidRPr="007E3686">
              <w:t>1-2. Előadás</w:t>
            </w:r>
            <w:r w:rsidR="007E3686">
              <w:t xml:space="preserve"> (</w:t>
            </w:r>
            <w:r w:rsidR="00E0018D">
              <w:t>8-90</w:t>
            </w:r>
            <w:r w:rsidR="007E3686">
              <w:t>)</w:t>
            </w:r>
            <w:r w:rsidR="00E0018D">
              <w:t>.</w:t>
            </w:r>
          </w:p>
          <w:p w:rsidR="00035CEB" w:rsidRPr="00C401F6" w:rsidRDefault="00035CEB" w:rsidP="00035CEB">
            <w:pPr>
              <w:tabs>
                <w:tab w:val="left" w:pos="1800"/>
              </w:tabs>
              <w:ind w:left="-18"/>
            </w:pPr>
          </w:p>
          <w:p w:rsidR="00035CEB" w:rsidRPr="00C401F6" w:rsidRDefault="00035CEB" w:rsidP="00035CEB">
            <w:pPr>
              <w:tabs>
                <w:tab w:val="left" w:pos="1800"/>
              </w:tabs>
              <w:ind w:left="-18"/>
              <w:rPr>
                <w:i/>
              </w:rPr>
            </w:pPr>
            <w:r w:rsidRPr="00C401F6">
              <w:rPr>
                <w:i/>
              </w:rPr>
              <w:t>3.3. Fajtanevek</w:t>
            </w:r>
          </w:p>
          <w:p w:rsidR="0042334C" w:rsidRDefault="00035CEB" w:rsidP="002670A9">
            <w:pPr>
              <w:tabs>
                <w:tab w:val="left" w:pos="720"/>
                <w:tab w:val="left" w:pos="1800"/>
              </w:tabs>
              <w:ind w:left="342" w:right="-1"/>
            </w:pPr>
            <w:r w:rsidRPr="00C401F6">
              <w:t>Putnam, Hilary: „</w:t>
            </w:r>
            <w:r w:rsidR="0042334C">
              <w:t xml:space="preserve">A ’jelentés’ jelentése”, </w:t>
            </w:r>
            <w:r w:rsidR="0042334C" w:rsidRPr="002670A9">
              <w:t xml:space="preserve">ford.: </w:t>
            </w:r>
            <w:r w:rsidR="007E3686" w:rsidRPr="002670A9">
              <w:t>Kovács János és Polgárdi Ákos,</w:t>
            </w:r>
            <w:r w:rsidR="0042334C" w:rsidRPr="002670A9">
              <w:t xml:space="preserve"> </w:t>
            </w:r>
            <w:r w:rsidR="0042334C" w:rsidRPr="002670A9">
              <w:rPr>
                <w:i/>
              </w:rPr>
              <w:t xml:space="preserve">Különbség </w:t>
            </w:r>
            <w:r w:rsidR="0042334C" w:rsidRPr="002670A9">
              <w:t>X/1</w:t>
            </w:r>
            <w:r w:rsidR="007E3686" w:rsidRPr="002670A9">
              <w:t xml:space="preserve"> (2010)</w:t>
            </w:r>
            <w:r w:rsidR="0042334C" w:rsidRPr="002670A9">
              <w:t xml:space="preserve">, </w:t>
            </w:r>
            <w:r w:rsidR="002670A9" w:rsidRPr="002670A9">
              <w:t>13-74.</w:t>
            </w:r>
          </w:p>
          <w:p w:rsidR="00035CEB" w:rsidRPr="00C401F6" w:rsidRDefault="00035CEB" w:rsidP="00035CEB">
            <w:pPr>
              <w:tabs>
                <w:tab w:val="left" w:pos="720"/>
                <w:tab w:val="left" w:pos="1800"/>
              </w:tabs>
              <w:ind w:left="-18"/>
            </w:pPr>
          </w:p>
          <w:p w:rsidR="00035CEB" w:rsidRPr="001067FD" w:rsidRDefault="00035CEB" w:rsidP="00035CEB">
            <w:pPr>
              <w:numPr>
                <w:ilvl w:val="0"/>
                <w:numId w:val="3"/>
              </w:numPr>
              <w:tabs>
                <w:tab w:val="clear" w:pos="720"/>
                <w:tab w:val="left" w:pos="342"/>
              </w:tabs>
              <w:ind w:left="342"/>
              <w:rPr>
                <w:i/>
              </w:rPr>
            </w:pPr>
            <w:r w:rsidRPr="001067FD">
              <w:rPr>
                <w:i/>
              </w:rPr>
              <w:t>Indexikusok</w:t>
            </w:r>
          </w:p>
          <w:p w:rsidR="00035CEB" w:rsidRPr="00C401F6" w:rsidRDefault="00035CEB" w:rsidP="00035CEB">
            <w:pPr>
              <w:numPr>
                <w:ilvl w:val="0"/>
                <w:numId w:val="5"/>
              </w:numPr>
              <w:ind w:right="-58"/>
              <w:rPr>
                <w:i/>
                <w:color w:val="000000"/>
              </w:rPr>
            </w:pPr>
            <w:r w:rsidRPr="00C401F6">
              <w:t xml:space="preserve">Evans, Gareth: „Understanding Demonstratives” In: H. Parret and J. Bouveresse (eds.): </w:t>
            </w:r>
            <w:r w:rsidRPr="00C401F6">
              <w:rPr>
                <w:i/>
              </w:rPr>
              <w:t>Meaning and Understanding</w:t>
            </w:r>
            <w:r w:rsidRPr="00C401F6">
              <w:t xml:space="preserve"> W. de Gruyter, Berlin 1981.</w:t>
            </w:r>
          </w:p>
          <w:p w:rsidR="00035CEB" w:rsidRPr="00C401F6" w:rsidRDefault="00035CEB" w:rsidP="00035CEB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  <w:rPr>
                <w:color w:val="000000"/>
              </w:rPr>
            </w:pPr>
            <w:r w:rsidRPr="001067FD">
              <w:t>Farkas Katalin</w:t>
            </w:r>
            <w:r w:rsidRPr="00C401F6">
              <w:rPr>
                <w:i/>
              </w:rPr>
              <w:t>:</w:t>
            </w:r>
            <w:r w:rsidRPr="00C401F6">
              <w:t xml:space="preserve"> </w:t>
            </w:r>
            <w:r w:rsidRPr="00C401F6">
              <w:rPr>
                <w:color w:val="000000"/>
              </w:rPr>
              <w:t>“’Sajátos és eredeti módon’. Frege az indexikus kifejezésekr</w:t>
            </w:r>
            <w:r w:rsidR="0042303D">
              <w:rPr>
                <w:color w:val="000000"/>
              </w:rPr>
              <w:t>ő</w:t>
            </w:r>
            <w:r w:rsidRPr="00C401F6">
              <w:rPr>
                <w:color w:val="000000"/>
              </w:rPr>
              <w:t xml:space="preserve">l” In: Neumer Katalin és Laki János (szerk.) </w:t>
            </w:r>
            <w:r w:rsidRPr="00C401F6">
              <w:rPr>
                <w:i/>
                <w:iCs/>
                <w:color w:val="000000"/>
              </w:rPr>
              <w:t>Minden filozófia „nyelvkritika” II. Analitikus filozófia és fenomenológia</w:t>
            </w:r>
            <w:r w:rsidR="002670A9">
              <w:rPr>
                <w:color w:val="000000"/>
              </w:rPr>
              <w:t xml:space="preserve"> Budapest: Gondolat Kiadó 2004. 54-68.</w:t>
            </w:r>
          </w:p>
          <w:p w:rsidR="00035CEB" w:rsidRPr="00C401F6" w:rsidRDefault="00035CEB" w:rsidP="00035CEB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C401F6">
              <w:t>Frege, Gottlob: „Logikai vizsgálódások. A gondolat”</w:t>
            </w:r>
            <w:r w:rsidRPr="00C401F6">
              <w:rPr>
                <w:i/>
              </w:rPr>
              <w:t xml:space="preserve"> </w:t>
            </w:r>
            <w:r w:rsidRPr="00C401F6">
              <w:t xml:space="preserve">In: </w:t>
            </w:r>
            <w:r w:rsidRPr="00C401F6">
              <w:rPr>
                <w:i/>
                <w:iCs/>
              </w:rPr>
              <w:t xml:space="preserve">Logikai vizsgálódások </w:t>
            </w:r>
            <w:r w:rsidRPr="00C401F6">
              <w:rPr>
                <w:iCs/>
              </w:rPr>
              <w:t>191-218.</w:t>
            </w:r>
          </w:p>
          <w:p w:rsidR="00035CEB" w:rsidRPr="00C401F6" w:rsidRDefault="00035CEB" w:rsidP="00035CEB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1067FD">
              <w:rPr>
                <w:iCs/>
              </w:rPr>
              <w:t>Kaplan, David</w:t>
            </w:r>
            <w:r w:rsidRPr="00C401F6">
              <w:rPr>
                <w:i/>
                <w:iCs/>
              </w:rPr>
              <w:t>:</w:t>
            </w:r>
            <w:r w:rsidRPr="00C401F6">
              <w:t xml:space="preserve"> „Demonstratives. An Essay on the Semantics, Logic, Metaphysics, and Epistemologyof Demonstratives and Other Indexicals” In Almog, J</w:t>
            </w:r>
            <w:r w:rsidR="002670A9">
              <w:t xml:space="preserve">. – Perry, J. – Wettstein, H. </w:t>
            </w:r>
            <w:r w:rsidR="002670A9" w:rsidRPr="00C401F6">
              <w:t xml:space="preserve">(eds.): </w:t>
            </w:r>
            <w:r w:rsidR="002670A9" w:rsidRPr="00C401F6">
              <w:rPr>
                <w:i/>
                <w:iCs/>
              </w:rPr>
              <w:t>Themes from Kaplan</w:t>
            </w:r>
            <w:r w:rsidR="002670A9" w:rsidRPr="00C401F6">
              <w:t>, Oxford University Press 1989</w:t>
            </w:r>
            <w:r w:rsidR="002670A9">
              <w:t xml:space="preserve">., </w:t>
            </w:r>
            <w:r w:rsidRPr="00C401F6">
              <w:t>481-564.</w:t>
            </w:r>
          </w:p>
          <w:p w:rsidR="001E6E38" w:rsidRPr="00C401F6" w:rsidRDefault="001E6E38" w:rsidP="001E6E38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  <w:rPr>
                <w:color w:val="000000"/>
              </w:rPr>
            </w:pPr>
            <w:r w:rsidRPr="001067FD">
              <w:rPr>
                <w:iCs/>
              </w:rPr>
              <w:t>Perry, John</w:t>
            </w:r>
            <w:r w:rsidRPr="00C401F6">
              <w:t xml:space="preserve">: „Frege on Demonstratives” In </w:t>
            </w:r>
            <w:r w:rsidRPr="00C401F6">
              <w:rPr>
                <w:i/>
                <w:iCs/>
              </w:rPr>
              <w:t>Philosophical Review</w:t>
            </w:r>
            <w:r w:rsidRPr="00C401F6">
              <w:t xml:space="preserve"> 86 (1977) 474-497.</w:t>
            </w:r>
          </w:p>
          <w:p w:rsidR="00C65E45" w:rsidRDefault="00035CEB" w:rsidP="002670A9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  <w:tab w:val="left" w:pos="720"/>
                <w:tab w:val="left" w:pos="1800"/>
              </w:tabs>
              <w:ind w:left="342"/>
            </w:pPr>
            <w:r w:rsidRPr="001067FD">
              <w:t>Perry, John</w:t>
            </w:r>
            <w:r w:rsidRPr="00C401F6">
              <w:t xml:space="preserve">: „The Problem of Essential Indexicals” In: N. Salmon–S. Soames (szerk.): </w:t>
            </w:r>
            <w:r w:rsidRPr="00C401F6">
              <w:rPr>
                <w:i/>
              </w:rPr>
              <w:t>Propositions and Attitudes</w:t>
            </w:r>
            <w:r w:rsidRPr="00C401F6">
              <w:t xml:space="preserve"> Oxford University Press 1988. 83-101.</w:t>
            </w:r>
          </w:p>
        </w:tc>
      </w:tr>
    </w:tbl>
    <w:p w:rsidR="001D05BA" w:rsidRDefault="001D05BA" w:rsidP="002670A9">
      <w:pPr>
        <w:rPr>
          <w:color w:val="0000FF"/>
        </w:rPr>
      </w:pPr>
    </w:p>
    <w:sectPr w:rsidR="001D05BA" w:rsidSect="00CA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44" w:rsidRDefault="00B62744" w:rsidP="002670A9">
      <w:r>
        <w:separator/>
      </w:r>
    </w:p>
  </w:endnote>
  <w:endnote w:type="continuationSeparator" w:id="0">
    <w:p w:rsidR="00B62744" w:rsidRDefault="00B62744" w:rsidP="0026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44" w:rsidRDefault="00B62744" w:rsidP="002670A9">
      <w:r>
        <w:separator/>
      </w:r>
    </w:p>
  </w:footnote>
  <w:footnote w:type="continuationSeparator" w:id="0">
    <w:p w:rsidR="00B62744" w:rsidRDefault="00B62744" w:rsidP="0026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D36857"/>
    <w:multiLevelType w:val="hybridMultilevel"/>
    <w:tmpl w:val="4F5CD3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81AB0"/>
    <w:multiLevelType w:val="hybridMultilevel"/>
    <w:tmpl w:val="F462102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D28A9"/>
    <w:multiLevelType w:val="hybridMultilevel"/>
    <w:tmpl w:val="F95E4BE2"/>
    <w:lvl w:ilvl="0" w:tplc="991C48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26037"/>
    <w:multiLevelType w:val="hybridMultilevel"/>
    <w:tmpl w:val="E2767E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09"/>
    <w:rsid w:val="00030050"/>
    <w:rsid w:val="00034C97"/>
    <w:rsid w:val="00035CEB"/>
    <w:rsid w:val="00052E4D"/>
    <w:rsid w:val="00056B00"/>
    <w:rsid w:val="0007495F"/>
    <w:rsid w:val="00082F54"/>
    <w:rsid w:val="00091602"/>
    <w:rsid w:val="00094623"/>
    <w:rsid w:val="00097F48"/>
    <w:rsid w:val="000C6278"/>
    <w:rsid w:val="000D2571"/>
    <w:rsid w:val="000F12E7"/>
    <w:rsid w:val="000F603B"/>
    <w:rsid w:val="000F6F9C"/>
    <w:rsid w:val="001049EE"/>
    <w:rsid w:val="00110DE0"/>
    <w:rsid w:val="00130FCB"/>
    <w:rsid w:val="00153FC1"/>
    <w:rsid w:val="0016008C"/>
    <w:rsid w:val="00162ED4"/>
    <w:rsid w:val="00170454"/>
    <w:rsid w:val="001770FF"/>
    <w:rsid w:val="00187F9E"/>
    <w:rsid w:val="001906F3"/>
    <w:rsid w:val="001B3BFE"/>
    <w:rsid w:val="001D05BA"/>
    <w:rsid w:val="001D0B59"/>
    <w:rsid w:val="001E6E38"/>
    <w:rsid w:val="002079AD"/>
    <w:rsid w:val="00215187"/>
    <w:rsid w:val="002164E1"/>
    <w:rsid w:val="00223F6E"/>
    <w:rsid w:val="00233C3A"/>
    <w:rsid w:val="00256B2C"/>
    <w:rsid w:val="00264D44"/>
    <w:rsid w:val="002670A9"/>
    <w:rsid w:val="0027289C"/>
    <w:rsid w:val="00282824"/>
    <w:rsid w:val="002A0F06"/>
    <w:rsid w:val="002B2639"/>
    <w:rsid w:val="002B6914"/>
    <w:rsid w:val="002C30C6"/>
    <w:rsid w:val="002C3D5A"/>
    <w:rsid w:val="002D1A37"/>
    <w:rsid w:val="002D6244"/>
    <w:rsid w:val="002F5DB1"/>
    <w:rsid w:val="00306F99"/>
    <w:rsid w:val="00340A03"/>
    <w:rsid w:val="003531EE"/>
    <w:rsid w:val="00383A4D"/>
    <w:rsid w:val="00384171"/>
    <w:rsid w:val="0039062E"/>
    <w:rsid w:val="003A77F5"/>
    <w:rsid w:val="003D1695"/>
    <w:rsid w:val="003D20C8"/>
    <w:rsid w:val="003E34BF"/>
    <w:rsid w:val="00404A7C"/>
    <w:rsid w:val="0040595E"/>
    <w:rsid w:val="0042303D"/>
    <w:rsid w:val="0042334C"/>
    <w:rsid w:val="004248E7"/>
    <w:rsid w:val="0043521F"/>
    <w:rsid w:val="004413AE"/>
    <w:rsid w:val="0044610E"/>
    <w:rsid w:val="00492C11"/>
    <w:rsid w:val="004A6F51"/>
    <w:rsid w:val="004B6E91"/>
    <w:rsid w:val="004C5A27"/>
    <w:rsid w:val="004D73B5"/>
    <w:rsid w:val="004D75DC"/>
    <w:rsid w:val="004F1DC8"/>
    <w:rsid w:val="004F3B77"/>
    <w:rsid w:val="004F3CF7"/>
    <w:rsid w:val="004F5562"/>
    <w:rsid w:val="00503454"/>
    <w:rsid w:val="00504526"/>
    <w:rsid w:val="00527604"/>
    <w:rsid w:val="00533D0C"/>
    <w:rsid w:val="00553198"/>
    <w:rsid w:val="005653B4"/>
    <w:rsid w:val="005A3818"/>
    <w:rsid w:val="005D5F31"/>
    <w:rsid w:val="005F1D17"/>
    <w:rsid w:val="005F41DB"/>
    <w:rsid w:val="00615D54"/>
    <w:rsid w:val="006323C7"/>
    <w:rsid w:val="00644076"/>
    <w:rsid w:val="00662BC6"/>
    <w:rsid w:val="006631EA"/>
    <w:rsid w:val="00677EFE"/>
    <w:rsid w:val="006C0C51"/>
    <w:rsid w:val="006E5192"/>
    <w:rsid w:val="006E68E4"/>
    <w:rsid w:val="006F37FC"/>
    <w:rsid w:val="00707074"/>
    <w:rsid w:val="007363B5"/>
    <w:rsid w:val="007602E3"/>
    <w:rsid w:val="007978DD"/>
    <w:rsid w:val="007E3686"/>
    <w:rsid w:val="00816BDC"/>
    <w:rsid w:val="00861FD2"/>
    <w:rsid w:val="00877D54"/>
    <w:rsid w:val="0088208C"/>
    <w:rsid w:val="00886B73"/>
    <w:rsid w:val="008A0DF5"/>
    <w:rsid w:val="008A1F80"/>
    <w:rsid w:val="008B6C74"/>
    <w:rsid w:val="008C3E69"/>
    <w:rsid w:val="008F3546"/>
    <w:rsid w:val="00906B4F"/>
    <w:rsid w:val="00914654"/>
    <w:rsid w:val="0091777A"/>
    <w:rsid w:val="009235A4"/>
    <w:rsid w:val="0092696D"/>
    <w:rsid w:val="00953891"/>
    <w:rsid w:val="0095505B"/>
    <w:rsid w:val="00961358"/>
    <w:rsid w:val="00984811"/>
    <w:rsid w:val="0099260C"/>
    <w:rsid w:val="00992FC9"/>
    <w:rsid w:val="009973F9"/>
    <w:rsid w:val="009A38A1"/>
    <w:rsid w:val="009B6471"/>
    <w:rsid w:val="009C2825"/>
    <w:rsid w:val="009F1CA6"/>
    <w:rsid w:val="009F2FFB"/>
    <w:rsid w:val="00A028B2"/>
    <w:rsid w:val="00A04098"/>
    <w:rsid w:val="00A1155E"/>
    <w:rsid w:val="00A2105D"/>
    <w:rsid w:val="00A335DA"/>
    <w:rsid w:val="00A35950"/>
    <w:rsid w:val="00A63198"/>
    <w:rsid w:val="00A650F7"/>
    <w:rsid w:val="00A66D93"/>
    <w:rsid w:val="00A82864"/>
    <w:rsid w:val="00A85A0D"/>
    <w:rsid w:val="00A92650"/>
    <w:rsid w:val="00AB7D85"/>
    <w:rsid w:val="00AC0166"/>
    <w:rsid w:val="00AE24F3"/>
    <w:rsid w:val="00AF5011"/>
    <w:rsid w:val="00B11D3E"/>
    <w:rsid w:val="00B12927"/>
    <w:rsid w:val="00B223F5"/>
    <w:rsid w:val="00B337E4"/>
    <w:rsid w:val="00B565E3"/>
    <w:rsid w:val="00B610E4"/>
    <w:rsid w:val="00B62744"/>
    <w:rsid w:val="00B703E6"/>
    <w:rsid w:val="00B745C0"/>
    <w:rsid w:val="00B92C10"/>
    <w:rsid w:val="00B953CA"/>
    <w:rsid w:val="00B97AAB"/>
    <w:rsid w:val="00BA04CE"/>
    <w:rsid w:val="00BA7785"/>
    <w:rsid w:val="00BB17DE"/>
    <w:rsid w:val="00BF6B39"/>
    <w:rsid w:val="00C16323"/>
    <w:rsid w:val="00C53032"/>
    <w:rsid w:val="00C542CC"/>
    <w:rsid w:val="00C65E45"/>
    <w:rsid w:val="00C734E8"/>
    <w:rsid w:val="00C73D4E"/>
    <w:rsid w:val="00C91C10"/>
    <w:rsid w:val="00CA28A7"/>
    <w:rsid w:val="00CA5688"/>
    <w:rsid w:val="00CB349E"/>
    <w:rsid w:val="00CF46CA"/>
    <w:rsid w:val="00CF482C"/>
    <w:rsid w:val="00D3174E"/>
    <w:rsid w:val="00D31905"/>
    <w:rsid w:val="00D65C00"/>
    <w:rsid w:val="00D70DCF"/>
    <w:rsid w:val="00D92CC4"/>
    <w:rsid w:val="00DB434C"/>
    <w:rsid w:val="00DC166C"/>
    <w:rsid w:val="00DD29CA"/>
    <w:rsid w:val="00E0018D"/>
    <w:rsid w:val="00E364E1"/>
    <w:rsid w:val="00E3786C"/>
    <w:rsid w:val="00E46CEE"/>
    <w:rsid w:val="00E66EEB"/>
    <w:rsid w:val="00E94340"/>
    <w:rsid w:val="00E95C66"/>
    <w:rsid w:val="00EA7D0D"/>
    <w:rsid w:val="00EB162E"/>
    <w:rsid w:val="00EB66D0"/>
    <w:rsid w:val="00EC4AD4"/>
    <w:rsid w:val="00EE4ECC"/>
    <w:rsid w:val="00F03189"/>
    <w:rsid w:val="00F04D94"/>
    <w:rsid w:val="00F12D21"/>
    <w:rsid w:val="00F1457B"/>
    <w:rsid w:val="00F148CF"/>
    <w:rsid w:val="00F3692E"/>
    <w:rsid w:val="00F57A06"/>
    <w:rsid w:val="00F6077F"/>
    <w:rsid w:val="00F61109"/>
    <w:rsid w:val="00F75200"/>
    <w:rsid w:val="00F75D6A"/>
    <w:rsid w:val="00F85A75"/>
    <w:rsid w:val="00F9672C"/>
    <w:rsid w:val="00FE1ABA"/>
    <w:rsid w:val="00FE396D"/>
    <w:rsid w:val="00FE5EB7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36D5DE"/>
  <w15:docId w15:val="{4AA96959-94BA-4A58-A92D-2FB6778A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F41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sszov">
    <w:name w:val="kisszov"/>
    <w:basedOn w:val="Norml"/>
    <w:rsid w:val="00F04D94"/>
    <w:pPr>
      <w:spacing w:before="100" w:beforeAutospacing="1" w:after="100" w:afterAutospacing="1"/>
    </w:pPr>
    <w:rPr>
      <w:rFonts w:ascii="Verdana" w:hAnsi="Verdana" w:cs="Verdana"/>
      <w:color w:val="000000"/>
      <w:sz w:val="12"/>
      <w:szCs w:val="12"/>
    </w:rPr>
  </w:style>
  <w:style w:type="character" w:styleId="Hiperhivatkozs">
    <w:name w:val="Hyperlink"/>
    <w:basedOn w:val="Bekezdsalapbettpusa"/>
    <w:rsid w:val="000D2571"/>
    <w:rPr>
      <w:color w:val="0000FF"/>
      <w:u w:val="single"/>
    </w:rPr>
  </w:style>
  <w:style w:type="character" w:styleId="Mrltotthiperhivatkozs">
    <w:name w:val="FollowedHyperlink"/>
    <w:basedOn w:val="Bekezdsalapbettpusa"/>
    <w:rsid w:val="000D2571"/>
    <w:rPr>
      <w:color w:val="800080"/>
      <w:u w:val="single"/>
    </w:rPr>
  </w:style>
  <w:style w:type="paragraph" w:styleId="Buborkszveg">
    <w:name w:val="Balloon Text"/>
    <w:basedOn w:val="Norml"/>
    <w:semiHidden/>
    <w:rsid w:val="00EE4EC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2670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70A9"/>
    <w:rPr>
      <w:sz w:val="24"/>
      <w:szCs w:val="24"/>
    </w:rPr>
  </w:style>
  <w:style w:type="paragraph" w:styleId="llb">
    <w:name w:val="footer"/>
    <w:basedOn w:val="Norml"/>
    <w:link w:val="llbChar"/>
    <w:rsid w:val="002670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67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o.stanford.edu/entries/re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Gáll Katalin</cp:lastModifiedBy>
  <cp:revision>4</cp:revision>
  <cp:lastPrinted>2011-09-14T12:30:00Z</cp:lastPrinted>
  <dcterms:created xsi:type="dcterms:W3CDTF">2020-11-24T12:54:00Z</dcterms:created>
  <dcterms:modified xsi:type="dcterms:W3CDTF">2021-01-02T19:40:00Z</dcterms:modified>
</cp:coreProperties>
</file>