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38" w:type="dxa"/>
        <w:tblLayout w:type="fixed"/>
        <w:tblCellMar>
          <w:left w:w="70" w:type="dxa"/>
          <w:right w:w="70" w:type="dxa"/>
        </w:tblCellMar>
        <w:tblLook w:val="04A0" w:firstRow="1" w:lastRow="0" w:firstColumn="1" w:lastColumn="0" w:noHBand="0" w:noVBand="1"/>
      </w:tblPr>
      <w:tblGrid>
        <w:gridCol w:w="9210"/>
      </w:tblGrid>
      <w:tr w:rsidR="008B6300" w14:paraId="424532E0"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0C0BF867" w14:textId="77777777" w:rsidR="008B6300" w:rsidRDefault="008B6300" w:rsidP="00923826">
            <w:pPr>
              <w:widowControl w:val="0"/>
              <w:spacing w:after="0"/>
              <w:rPr>
                <w:rFonts w:ascii="Garamond" w:hAnsi="Garamond" w:cs="Times New Roman"/>
                <w:lang w:val="en-GB"/>
              </w:rPr>
            </w:pPr>
            <w:r>
              <w:rPr>
                <w:rFonts w:ascii="Garamond" w:hAnsi="Garamond" w:cs="Times New Roman"/>
                <w:lang w:val="en-GB"/>
              </w:rPr>
              <w:t xml:space="preserve">Code of course: </w:t>
            </w:r>
            <w:r>
              <w:rPr>
                <w:rFonts w:ascii="Garamond" w:hAnsi="Garamond" w:cs="Times New Roman"/>
                <w:b/>
                <w:bCs/>
                <w:lang w:val="en-GB"/>
              </w:rPr>
              <w:t>BMI-LOTD-414E.04</w:t>
            </w:r>
          </w:p>
        </w:tc>
      </w:tr>
      <w:tr w:rsidR="008B6300" w14:paraId="4D179960"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73BDA2B3" w14:textId="77777777" w:rsidR="008B6300" w:rsidRDefault="008B6300" w:rsidP="00923826">
            <w:pPr>
              <w:widowControl w:val="0"/>
              <w:spacing w:after="0"/>
            </w:pPr>
            <w:r>
              <w:rPr>
                <w:rFonts w:ascii="Garamond" w:hAnsi="Garamond" w:cs="Times New Roman"/>
                <w:lang w:val="en-GB"/>
              </w:rPr>
              <w:t xml:space="preserve">Title of course: </w:t>
            </w:r>
            <w:r>
              <w:rPr>
                <w:rFonts w:ascii="Garamond" w:hAnsi="Garamond" w:cs="Times New Roman"/>
                <w:b/>
                <w:bCs/>
                <w:lang w:val="en-US"/>
              </w:rPr>
              <w:t>Language and Context Sensitivity</w:t>
            </w:r>
          </w:p>
        </w:tc>
      </w:tr>
      <w:tr w:rsidR="008B6300" w14:paraId="177741EB"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1D63C487" w14:textId="77777777" w:rsidR="008B6300" w:rsidRDefault="008B6300" w:rsidP="00923826">
            <w:pPr>
              <w:widowControl w:val="0"/>
              <w:spacing w:after="0"/>
              <w:rPr>
                <w:rFonts w:ascii="Garamond" w:hAnsi="Garamond"/>
                <w:lang w:val="en-GB"/>
              </w:rPr>
            </w:pPr>
            <w:r>
              <w:rPr>
                <w:rFonts w:ascii="Garamond" w:hAnsi="Garamond"/>
                <w:lang w:val="en-GB"/>
              </w:rPr>
              <w:t xml:space="preserve">Lecturer: </w:t>
            </w:r>
            <w:r w:rsidRPr="000F1CE6">
              <w:rPr>
                <w:rFonts w:ascii="Garamond" w:hAnsi="Garamond"/>
                <w:b/>
                <w:bCs/>
                <w:lang w:val="en-GB"/>
              </w:rPr>
              <w:t>Zsófia Zvolenszky</w:t>
            </w:r>
          </w:p>
        </w:tc>
      </w:tr>
      <w:tr w:rsidR="008B6300" w14:paraId="36FC65AF"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552883CD" w14:textId="77777777" w:rsidR="008B6300" w:rsidRPr="001C1117" w:rsidRDefault="008B6300" w:rsidP="00923826">
            <w:pPr>
              <w:spacing w:after="0"/>
              <w:rPr>
                <w:rFonts w:ascii="Garamond" w:hAnsi="Garamond"/>
                <w:b/>
                <w:lang w:val="en-US"/>
              </w:rPr>
            </w:pPr>
            <w:r w:rsidRPr="001C1117">
              <w:rPr>
                <w:rFonts w:ascii="Garamond" w:hAnsi="Garamond"/>
                <w:b/>
                <w:lang w:val="en-US"/>
              </w:rPr>
              <w:t>General aim of the course:</w:t>
            </w:r>
          </w:p>
          <w:p w14:paraId="0E55287E" w14:textId="77777777" w:rsidR="008B6300" w:rsidRDefault="008B6300" w:rsidP="00923826">
            <w:pPr>
              <w:pStyle w:val="Te1e1e1e1ble1e1e1e1zattartalom"/>
              <w:spacing w:after="0"/>
              <w:rPr>
                <w:rFonts w:ascii="Garamond" w:hAnsi="Garamond" w:cs="Times New Roman"/>
                <w:lang w:val="en-US"/>
              </w:rPr>
            </w:pPr>
            <w:r>
              <w:rPr>
                <w:rFonts w:ascii="Garamond" w:hAnsi="Garamond" w:cs="Times New Roman"/>
                <w:lang w:val="en-US"/>
              </w:rPr>
              <w:t xml:space="preserve">This is an accelerated introduction to philosophy of language that focuses on a special topic: the interaction of linguistic meaning and contexts of speech or though, and how such contexts can affect what speakers convey via language. </w:t>
            </w:r>
          </w:p>
          <w:p w14:paraId="73FF1527" w14:textId="77777777" w:rsidR="008B6300" w:rsidRDefault="008B6300" w:rsidP="00923826">
            <w:pPr>
              <w:pStyle w:val="Te1e1e1e1ble1e1e1e1zattartalom"/>
              <w:spacing w:after="0"/>
              <w:rPr>
                <w:rFonts w:ascii="Garamond" w:hAnsi="Garamond" w:cs="Times New Roman"/>
                <w:b/>
                <w:lang w:val="en-US"/>
              </w:rPr>
            </w:pPr>
            <w:r w:rsidRPr="005C4457">
              <w:rPr>
                <w:rFonts w:ascii="Garamond" w:hAnsi="Garamond" w:cs="Times New Roman"/>
                <w:b/>
                <w:lang w:val="en-US"/>
              </w:rPr>
              <w:t>Prerequisites:</w:t>
            </w:r>
          </w:p>
          <w:p w14:paraId="1BDB7FE4" w14:textId="77777777" w:rsidR="008B6300" w:rsidRDefault="008B6300" w:rsidP="00923826">
            <w:pPr>
              <w:snapToGrid w:val="0"/>
              <w:spacing w:after="0"/>
              <w:ind w:right="-108"/>
              <w:rPr>
                <w:rFonts w:ascii="Garamond" w:hAnsi="Garamond"/>
                <w:lang w:val="en-US"/>
              </w:rPr>
            </w:pPr>
            <w:r w:rsidRPr="001C1117">
              <w:rPr>
                <w:rFonts w:ascii="Garamond" w:hAnsi="Garamond"/>
                <w:lang w:val="en-US"/>
              </w:rPr>
              <w:t>– Students should be prepared to read and discuss materials in English. The language of instruction for the course is English.</w:t>
            </w:r>
          </w:p>
          <w:p w14:paraId="4EC61815" w14:textId="77777777" w:rsidR="008B6300" w:rsidRDefault="008B6300" w:rsidP="00923826">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This is an accelerated introductory course intended for students with some familiarity with contemporary Anglo-American analytic philosophy, its approach, tools, readings. Students are expected to have taken at least one course in: logic, philosophy of language, metaphysics, epistemology, philosophy of mind. </w:t>
            </w:r>
          </w:p>
          <w:p w14:paraId="2096B7B2" w14:textId="77777777" w:rsidR="008B6300" w:rsidRPr="001C1117" w:rsidRDefault="008B6300" w:rsidP="00923826">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w:t>
            </w:r>
            <w:r w:rsidRPr="001C1117">
              <w:rPr>
                <w:rFonts w:ascii="Garamond" w:hAnsi="Garamond"/>
                <w:lang w:val="en-US"/>
              </w:rPr>
              <w:t xml:space="preserve">If </w:t>
            </w:r>
            <w:r>
              <w:rPr>
                <w:rFonts w:ascii="Garamond" w:hAnsi="Garamond"/>
                <w:lang w:val="en-US"/>
              </w:rPr>
              <w:t>you haven’t yet taken a course in one of the above areas</w:t>
            </w:r>
            <w:r w:rsidRPr="001C1117">
              <w:rPr>
                <w:rFonts w:ascii="Garamond" w:hAnsi="Garamond"/>
                <w:lang w:val="en-US"/>
              </w:rPr>
              <w:t>: the instructor’s permi</w:t>
            </w:r>
            <w:r>
              <w:rPr>
                <w:rFonts w:ascii="Garamond" w:hAnsi="Garamond"/>
                <w:lang w:val="en-US"/>
              </w:rPr>
              <w:t xml:space="preserve">ssion is required for taking this </w:t>
            </w:r>
            <w:r w:rsidRPr="001C1117">
              <w:rPr>
                <w:rFonts w:ascii="Garamond" w:hAnsi="Garamond"/>
                <w:lang w:val="en-US"/>
              </w:rPr>
              <w:t>course.</w:t>
            </w:r>
            <w:r>
              <w:rPr>
                <w:rFonts w:ascii="Garamond" w:hAnsi="Garamond"/>
                <w:lang w:val="en-US"/>
              </w:rPr>
              <w:t xml:space="preserve"> </w:t>
            </w:r>
          </w:p>
          <w:p w14:paraId="5111E7E0" w14:textId="77777777" w:rsidR="008B6300" w:rsidRPr="001C1117" w:rsidRDefault="008B6300" w:rsidP="00923826">
            <w:pPr>
              <w:pStyle w:val="Te1e1e1e1ble1e1e1e1zattartalom"/>
              <w:spacing w:after="0"/>
              <w:rPr>
                <w:rFonts w:ascii="Garamond" w:hAnsi="Garamond" w:cs="Times New Roman"/>
                <w:b/>
                <w:lang w:val="en-US"/>
              </w:rPr>
            </w:pPr>
            <w:r w:rsidRPr="001C1117">
              <w:rPr>
                <w:rFonts w:ascii="Garamond" w:hAnsi="Garamond" w:cs="Times New Roman"/>
                <w:b/>
                <w:lang w:val="en-US"/>
              </w:rPr>
              <w:t>Content of the course:</w:t>
            </w:r>
          </w:p>
          <w:p w14:paraId="36F96FC4" w14:textId="77777777" w:rsidR="008B6300" w:rsidRDefault="008B6300" w:rsidP="00923826">
            <w:pPr>
              <w:spacing w:after="0"/>
              <w:ind w:right="-108"/>
              <w:rPr>
                <w:rFonts w:ascii="Garamond" w:hAnsi="Garamond"/>
                <w:lang w:val="en-US"/>
              </w:rPr>
            </w:pPr>
            <w:r>
              <w:rPr>
                <w:rFonts w:ascii="Garamond" w:hAnsi="Garamond"/>
                <w:lang w:val="en-US"/>
              </w:rPr>
              <w:t xml:space="preserve">People rely on shared linguistic meanings for their expressions to have, in some ways, a measure of stability across conversational contexts. Meanwhile, some expressions – </w:t>
            </w:r>
            <w:proofErr w:type="spellStart"/>
            <w:r>
              <w:rPr>
                <w:rFonts w:ascii="Garamond" w:hAnsi="Garamond"/>
                <w:lang w:val="en-US"/>
              </w:rPr>
              <w:t>indexicals</w:t>
            </w:r>
            <w:proofErr w:type="spellEnd"/>
            <w:r>
              <w:rPr>
                <w:rFonts w:ascii="Garamond" w:hAnsi="Garamond"/>
                <w:lang w:val="en-US"/>
              </w:rPr>
              <w:t xml:space="preserve"> like ‘I’, ‘here’, demonstratives like ‘that’, ‘you’, ‘they’ – clearly rely for their meaning on contexts (who the speaker, place of utterance, and so on, are). Other expressions still do this sort of relying, but do so less obviously: ‘tall’ is a gradable adjective that </w:t>
            </w:r>
            <w:proofErr w:type="gramStart"/>
            <w:r>
              <w:rPr>
                <w:rFonts w:ascii="Garamond" w:hAnsi="Garamond"/>
                <w:lang w:val="en-US"/>
              </w:rPr>
              <w:t>can</w:t>
            </w:r>
            <w:proofErr w:type="gramEnd"/>
            <w:r>
              <w:rPr>
                <w:rFonts w:ascii="Garamond" w:hAnsi="Garamond"/>
                <w:lang w:val="en-US"/>
              </w:rPr>
              <w:t xml:space="preserve"> invoke radically different height ranges if the subject discussed is first-graders than if it is basketball players. In this course we read an introductory textbook on the topic, by </w:t>
            </w:r>
            <w:proofErr w:type="spellStart"/>
            <w:r>
              <w:rPr>
                <w:rFonts w:ascii="Garamond" w:hAnsi="Garamond"/>
                <w:lang w:val="en-US"/>
              </w:rPr>
              <w:t>Cappelen</w:t>
            </w:r>
            <w:proofErr w:type="spellEnd"/>
            <w:r>
              <w:rPr>
                <w:rFonts w:ascii="Garamond" w:hAnsi="Garamond"/>
                <w:lang w:val="en-US"/>
              </w:rPr>
              <w:t xml:space="preserve"> and </w:t>
            </w:r>
            <w:proofErr w:type="spellStart"/>
            <w:r>
              <w:rPr>
                <w:rFonts w:ascii="Garamond" w:hAnsi="Garamond"/>
                <w:lang w:val="en-US"/>
              </w:rPr>
              <w:t>Dever</w:t>
            </w:r>
            <w:proofErr w:type="spellEnd"/>
            <w:r>
              <w:rPr>
                <w:rFonts w:ascii="Garamond" w:hAnsi="Garamond"/>
                <w:lang w:val="en-US"/>
              </w:rPr>
              <w:t xml:space="preserve">, </w:t>
            </w:r>
            <w:r>
              <w:rPr>
                <w:rFonts w:ascii="Garamond" w:hAnsi="Garamond"/>
                <w:i/>
                <w:iCs/>
                <w:lang w:val="en-US"/>
              </w:rPr>
              <w:t>Context and Communication</w:t>
            </w:r>
            <w:r>
              <w:rPr>
                <w:rFonts w:ascii="Garamond" w:hAnsi="Garamond"/>
                <w:lang w:val="en-US"/>
              </w:rPr>
              <w:t xml:space="preserve">, to help us understand and connect some classic texts about context-sensitivity phenomena by philosophers of language as well as linguists. </w:t>
            </w:r>
          </w:p>
          <w:p w14:paraId="1A41818E" w14:textId="77777777" w:rsidR="008B6300" w:rsidRPr="009D32F4" w:rsidRDefault="008B6300" w:rsidP="00923826">
            <w:pPr>
              <w:spacing w:after="0"/>
              <w:ind w:right="-108"/>
              <w:rPr>
                <w:rFonts w:ascii="Garamond" w:hAnsi="Garamond"/>
                <w:b/>
                <w:highlight w:val="yellow"/>
                <w:lang w:val="en-US"/>
              </w:rPr>
            </w:pPr>
            <w:r w:rsidRPr="001C1117">
              <w:rPr>
                <w:rFonts w:ascii="Garamond" w:hAnsi="Garamond"/>
                <w:b/>
                <w:lang w:val="en-US"/>
              </w:rPr>
              <w:t>Grading c</w:t>
            </w:r>
            <w:r>
              <w:rPr>
                <w:rFonts w:ascii="Garamond" w:hAnsi="Garamond"/>
                <w:b/>
                <w:lang w:val="en-US"/>
              </w:rPr>
              <w:t>riteria, specific requirements:</w:t>
            </w:r>
          </w:p>
          <w:p w14:paraId="5E13E5C6" w14:textId="77777777" w:rsidR="008B6300" w:rsidRPr="00F226DF" w:rsidRDefault="008B6300" w:rsidP="00923826">
            <w:pPr>
              <w:spacing w:after="0"/>
              <w:ind w:right="-108"/>
              <w:rPr>
                <w:rFonts w:ascii="Garamond" w:hAnsi="Garamond"/>
                <w:lang w:val="en-US"/>
              </w:rPr>
            </w:pPr>
            <w:r w:rsidRPr="00F226DF">
              <w:rPr>
                <w:rFonts w:ascii="Garamond" w:hAnsi="Garamond"/>
                <w:lang w:val="en-US"/>
              </w:rPr>
              <w:t>– 30–</w:t>
            </w:r>
            <w:r>
              <w:rPr>
                <w:rFonts w:ascii="Garamond" w:hAnsi="Garamond"/>
                <w:lang w:val="en-US"/>
              </w:rPr>
              <w:t>65</w:t>
            </w:r>
            <w:r w:rsidRPr="00F226DF">
              <w:rPr>
                <w:rFonts w:ascii="Garamond" w:hAnsi="Garamond"/>
                <w:lang w:val="en-US"/>
              </w:rPr>
              <w:t xml:space="preserve"> pages of reading each week</w:t>
            </w:r>
          </w:p>
          <w:p w14:paraId="3C62B7D1" w14:textId="77777777" w:rsidR="008B6300" w:rsidRPr="00F226DF" w:rsidRDefault="008B6300" w:rsidP="00923826">
            <w:pPr>
              <w:spacing w:after="0"/>
              <w:ind w:right="-108"/>
              <w:rPr>
                <w:rFonts w:ascii="Garamond" w:hAnsi="Garamond"/>
                <w:lang w:val="en-US"/>
              </w:rPr>
            </w:pPr>
            <w:r w:rsidRPr="00F226DF">
              <w:rPr>
                <w:rFonts w:ascii="Garamond" w:hAnsi="Garamond"/>
                <w:lang w:val="en-US"/>
              </w:rPr>
              <w:t>– posting questions/comments at the cou</w:t>
            </w:r>
            <w:r>
              <w:rPr>
                <w:rFonts w:ascii="Garamond" w:hAnsi="Garamond"/>
                <w:lang w:val="en-US"/>
              </w:rPr>
              <w:t>rse discussion forum each week</w:t>
            </w:r>
          </w:p>
          <w:p w14:paraId="3232B36E" w14:textId="77777777" w:rsidR="008B6300" w:rsidRPr="00F226DF" w:rsidRDefault="008B6300" w:rsidP="00923826">
            <w:pPr>
              <w:spacing w:after="0"/>
              <w:ind w:right="-108"/>
              <w:rPr>
                <w:rFonts w:ascii="Garamond" w:hAnsi="Garamond"/>
                <w:lang w:val="en-US"/>
              </w:rPr>
            </w:pPr>
            <w:r w:rsidRPr="00F226DF">
              <w:rPr>
                <w:rFonts w:ascii="Garamond" w:hAnsi="Garamond"/>
                <w:lang w:val="en-US"/>
              </w:rPr>
              <w:t xml:space="preserve">– class participation </w:t>
            </w:r>
          </w:p>
          <w:p w14:paraId="5E1A4904" w14:textId="77777777" w:rsidR="008B6300" w:rsidRPr="00F226DF" w:rsidRDefault="008B6300" w:rsidP="00923826">
            <w:pPr>
              <w:spacing w:after="0"/>
              <w:ind w:right="-108"/>
              <w:rPr>
                <w:rFonts w:ascii="Garamond" w:hAnsi="Garamond"/>
                <w:lang w:val="en-US"/>
              </w:rPr>
            </w:pPr>
            <w:r w:rsidRPr="00F226DF">
              <w:rPr>
                <w:rFonts w:ascii="Garamond" w:hAnsi="Garamond"/>
                <w:lang w:val="en-US"/>
              </w:rPr>
              <w:t>– writing a seminar paper</w:t>
            </w:r>
            <w:r>
              <w:rPr>
                <w:rFonts w:ascii="Garamond" w:hAnsi="Garamond"/>
                <w:lang w:val="en-US"/>
              </w:rPr>
              <w:t xml:space="preserve"> or sever</w:t>
            </w:r>
            <w:r w:rsidRPr="00F226DF">
              <w:rPr>
                <w:rFonts w:ascii="Garamond" w:hAnsi="Garamond"/>
                <w:lang w:val="en-US"/>
              </w:rPr>
              <w:t>al shorter response papers</w:t>
            </w:r>
          </w:p>
          <w:p w14:paraId="3170184A" w14:textId="77777777" w:rsidR="008B6300" w:rsidRPr="00F226DF" w:rsidRDefault="008B6300" w:rsidP="00923826">
            <w:pPr>
              <w:spacing w:after="0"/>
              <w:ind w:right="-108"/>
              <w:rPr>
                <w:rFonts w:ascii="Garamond" w:hAnsi="Garamond"/>
                <w:lang w:val="en-US"/>
              </w:rPr>
            </w:pPr>
            <w:r w:rsidRPr="00F226DF">
              <w:rPr>
                <w:rFonts w:ascii="Garamond" w:hAnsi="Garamond"/>
                <w:lang w:val="en-US"/>
              </w:rPr>
              <w:t>– once during the semester, acting as MC (Master of Ceremonies) (this involves briefly introducing the readings as well as students’ questions and comments)</w:t>
            </w:r>
          </w:p>
          <w:p w14:paraId="34608FB2" w14:textId="77777777" w:rsidR="008B6300" w:rsidRPr="000F4511" w:rsidRDefault="008B6300" w:rsidP="00923826">
            <w:pPr>
              <w:spacing w:after="0"/>
              <w:ind w:right="-108"/>
              <w:rPr>
                <w:rFonts w:ascii="Garamond" w:hAnsi="Garamond"/>
                <w:lang w:val="en-US"/>
              </w:rPr>
            </w:pPr>
            <w:r w:rsidRPr="00F226DF">
              <w:rPr>
                <w:rFonts w:ascii="Garamond" w:hAnsi="Garamond"/>
                <w:lang w:val="en-US"/>
              </w:rPr>
              <w:t xml:space="preserve">In the </w:t>
            </w:r>
            <w:r w:rsidRPr="00F226DF">
              <w:rPr>
                <w:rFonts w:ascii="Garamond" w:hAnsi="Garamond"/>
                <w:b/>
                <w:lang w:val="en-US"/>
              </w:rPr>
              <w:t>seminar paper or response papers</w:t>
            </w:r>
            <w:r w:rsidRPr="00F226DF">
              <w:rPr>
                <w:rFonts w:ascii="Garamond" w:hAnsi="Garamond"/>
                <w:lang w:val="en-US"/>
              </w:rPr>
              <w:t xml:space="preserve">, </w:t>
            </w:r>
            <w:r w:rsidRPr="000F4511">
              <w:rPr>
                <w:rFonts w:ascii="Garamond" w:hAnsi="Garamond"/>
                <w:lang w:val="en-US"/>
              </w:rPr>
              <w:t xml:space="preserve">you should focus on critical assessment, don’t just summarize the readings. Instead, select an argument, claim, </w:t>
            </w:r>
            <w:proofErr w:type="gramStart"/>
            <w:r w:rsidRPr="000F4511">
              <w:rPr>
                <w:rFonts w:ascii="Garamond" w:hAnsi="Garamond"/>
                <w:lang w:val="en-US"/>
              </w:rPr>
              <w:t>distinction</w:t>
            </w:r>
            <w:proofErr w:type="gramEnd"/>
            <w:r w:rsidRPr="000F4511">
              <w:rPr>
                <w:rFonts w:ascii="Garamond" w:hAnsi="Garamond"/>
                <w:lang w:val="en-US"/>
              </w:rPr>
              <w:t xml:space="preserve"> or definition that you consider interesting and critique it. Your 3 response papers should be on distinct readings, but beyond that you are free to choose as the theme for your response paper any prior reading (textbook section or essay). </w:t>
            </w:r>
          </w:p>
          <w:p w14:paraId="77757E12" w14:textId="77777777" w:rsidR="008B6300" w:rsidRPr="000F4511" w:rsidRDefault="008B6300" w:rsidP="00923826">
            <w:pPr>
              <w:spacing w:after="0"/>
              <w:ind w:right="-108"/>
              <w:rPr>
                <w:rFonts w:ascii="Garamond" w:hAnsi="Garamond"/>
                <w:lang w:val="en-US"/>
              </w:rPr>
            </w:pPr>
            <w:r w:rsidRPr="000F4511">
              <w:rPr>
                <w:rFonts w:ascii="Garamond" w:hAnsi="Garamond"/>
                <w:lang w:val="en-US"/>
              </w:rPr>
              <w:t>Two useful sites about writing response papers:</w:t>
            </w:r>
          </w:p>
          <w:p w14:paraId="717273A5" w14:textId="77777777" w:rsidR="008B6300" w:rsidRPr="000F4511" w:rsidRDefault="008B6300" w:rsidP="00923826">
            <w:pPr>
              <w:spacing w:after="0"/>
              <w:ind w:right="-108"/>
              <w:rPr>
                <w:rFonts w:ascii="Garamond" w:hAnsi="Garamond"/>
                <w:lang w:val="en-US"/>
              </w:rPr>
            </w:pPr>
            <w:r w:rsidRPr="000F4511">
              <w:rPr>
                <w:rFonts w:ascii="Garamond" w:hAnsi="Garamond"/>
                <w:lang w:val="en-US"/>
              </w:rPr>
              <w:t>http://www.davidhildebrand.org/uploads/3/2/1/2/32124749/hildebrand_how_to_write_a_short_critical_paper.pdf</w:t>
            </w:r>
          </w:p>
          <w:p w14:paraId="4ECB6B90" w14:textId="77777777" w:rsidR="008B6300" w:rsidRPr="00F226DF" w:rsidRDefault="008B6300" w:rsidP="00923826">
            <w:pPr>
              <w:spacing w:after="0"/>
              <w:ind w:right="-108"/>
              <w:rPr>
                <w:rFonts w:ascii="Garamond" w:hAnsi="Garamond"/>
                <w:lang w:val="en-US"/>
              </w:rPr>
            </w:pPr>
            <w:r w:rsidRPr="000F4511">
              <w:rPr>
                <w:rFonts w:ascii="Garamond" w:hAnsi="Garamond"/>
                <w:lang w:val="en-US"/>
              </w:rPr>
              <w:t>http://www.jimpryor.net/teaching/guidelines/writing.html (this one is intended for a longer piece than ours).</w:t>
            </w:r>
          </w:p>
          <w:p w14:paraId="6CEA5F6E" w14:textId="77777777" w:rsidR="008B6300" w:rsidRPr="00F226DF" w:rsidRDefault="008B6300" w:rsidP="00923826">
            <w:pPr>
              <w:spacing w:after="0"/>
              <w:ind w:right="-108"/>
              <w:rPr>
                <w:rFonts w:ascii="Garamond" w:hAnsi="Garamond"/>
                <w:lang w:val="en-US"/>
              </w:rPr>
            </w:pPr>
            <w:r w:rsidRPr="00F226DF">
              <w:rPr>
                <w:rFonts w:ascii="Garamond" w:hAnsi="Garamond"/>
                <w:lang w:val="en-US"/>
              </w:rPr>
              <w:t xml:space="preserve">It’s a good idea to get started early on the response papers, so you can get feedback based on which you can make your next response paper even better. For this reason, you can only hand in one response paper at a time, and by mid-semester you should hand in at least two of your response papers. </w:t>
            </w:r>
          </w:p>
          <w:p w14:paraId="765C0348" w14:textId="77777777" w:rsidR="008B6300" w:rsidRPr="00F226DF" w:rsidRDefault="008B6300" w:rsidP="00923826">
            <w:pPr>
              <w:spacing w:after="0"/>
              <w:ind w:right="-108"/>
              <w:rPr>
                <w:rFonts w:ascii="Garamond" w:hAnsi="Garamond"/>
                <w:lang w:val="en-US"/>
              </w:rPr>
            </w:pPr>
            <w:r w:rsidRPr="00F226DF">
              <w:rPr>
                <w:rFonts w:ascii="Garamond" w:hAnsi="Garamond"/>
                <w:lang w:val="en-US"/>
              </w:rPr>
              <w:t>Regular preparation, attendance and participation are required. To receive a grade, you must attend at least 7 seminars (including the one when you are M.C.-</w:t>
            </w:r>
            <w:proofErr w:type="spellStart"/>
            <w:r w:rsidRPr="00F226DF">
              <w:rPr>
                <w:rFonts w:ascii="Garamond" w:hAnsi="Garamond"/>
                <w:lang w:val="en-US"/>
              </w:rPr>
              <w:t>ing</w:t>
            </w:r>
            <w:proofErr w:type="spellEnd"/>
            <w:r w:rsidRPr="00F226DF">
              <w:rPr>
                <w:rFonts w:ascii="Garamond" w:hAnsi="Garamond"/>
                <w:lang w:val="en-US"/>
              </w:rPr>
              <w:t xml:space="preserve">). </w:t>
            </w:r>
          </w:p>
          <w:p w14:paraId="42F6D8F7" w14:textId="77777777" w:rsidR="008B6300" w:rsidRDefault="008B6300" w:rsidP="00923826">
            <w:pPr>
              <w:spacing w:after="0"/>
              <w:rPr>
                <w:rFonts w:ascii="Garamond" w:hAnsi="Garamond"/>
                <w:b/>
                <w:lang w:val="en-GB"/>
              </w:rPr>
            </w:pPr>
            <w:r w:rsidRPr="001C1117">
              <w:rPr>
                <w:rFonts w:ascii="Garamond" w:hAnsi="Garamond"/>
                <w:b/>
                <w:lang w:val="en-GB"/>
              </w:rPr>
              <w:t>Required reading</w:t>
            </w:r>
            <w:r>
              <w:rPr>
                <w:rFonts w:ascii="Garamond" w:hAnsi="Garamond"/>
                <w:b/>
                <w:lang w:val="en-GB"/>
              </w:rPr>
              <w:t>s, materials include</w:t>
            </w:r>
            <w:r w:rsidRPr="001C1117">
              <w:rPr>
                <w:rFonts w:ascii="Garamond" w:hAnsi="Garamond"/>
                <w:b/>
                <w:lang w:val="en-GB"/>
              </w:rPr>
              <w:t>:</w:t>
            </w:r>
          </w:p>
          <w:p w14:paraId="5EE4F639" w14:textId="2DAF6978" w:rsidR="008B6300" w:rsidRPr="00627D24" w:rsidRDefault="008B6300" w:rsidP="00627D24">
            <w:pPr>
              <w:pStyle w:val="Listaszerbekezds"/>
              <w:numPr>
                <w:ilvl w:val="0"/>
                <w:numId w:val="1"/>
              </w:numPr>
              <w:suppressAutoHyphens w:val="0"/>
              <w:spacing w:after="0"/>
              <w:rPr>
                <w:rFonts w:ascii="Garamond" w:hAnsi="Garamond"/>
                <w:bCs/>
                <w:lang w:val="en-US"/>
              </w:rPr>
            </w:pPr>
            <w:r>
              <w:rPr>
                <w:rFonts w:ascii="Garamond" w:hAnsi="Garamond"/>
              </w:rPr>
              <w:t>We</w:t>
            </w:r>
            <w:r>
              <w:rPr>
                <w:rFonts w:ascii="Garamond" w:hAnsi="Garamond"/>
                <w:lang w:val="en-US"/>
              </w:rPr>
              <w:t xml:space="preserve">’ll use as </w:t>
            </w:r>
            <w:r>
              <w:rPr>
                <w:rFonts w:ascii="Garamond" w:hAnsi="Garamond"/>
              </w:rPr>
              <w:t xml:space="preserve">textbook the following: Herman </w:t>
            </w:r>
            <w:proofErr w:type="spellStart"/>
            <w:r>
              <w:rPr>
                <w:rFonts w:ascii="Garamond" w:hAnsi="Garamond"/>
              </w:rPr>
              <w:t>Cappelen</w:t>
            </w:r>
            <w:proofErr w:type="spellEnd"/>
            <w:r>
              <w:rPr>
                <w:rFonts w:ascii="Garamond" w:hAnsi="Garamond"/>
              </w:rPr>
              <w:t xml:space="preserve"> and Josh </w:t>
            </w:r>
            <w:proofErr w:type="spellStart"/>
            <w:r>
              <w:rPr>
                <w:rFonts w:ascii="Garamond" w:hAnsi="Garamond"/>
              </w:rPr>
              <w:t>Dever</w:t>
            </w:r>
            <w:proofErr w:type="spellEnd"/>
            <w:r>
              <w:rPr>
                <w:rFonts w:ascii="Garamond" w:hAnsi="Garamond"/>
              </w:rPr>
              <w:t xml:space="preserve">: </w:t>
            </w:r>
            <w:r>
              <w:rPr>
                <w:rFonts w:ascii="Garamond" w:hAnsi="Garamond"/>
                <w:i/>
                <w:iCs/>
              </w:rPr>
              <w:t xml:space="preserve">Context and Communication </w:t>
            </w:r>
            <w:r>
              <w:rPr>
                <w:rFonts w:ascii="Garamond" w:hAnsi="Garamond"/>
              </w:rPr>
              <w:t xml:space="preserve">(2016 OUP). We’ll additionally read foundational papers by, among others, David Beaver, H. P. Grice, David Beaver, Saul </w:t>
            </w:r>
            <w:proofErr w:type="spellStart"/>
            <w:r>
              <w:rPr>
                <w:rFonts w:ascii="Garamond" w:hAnsi="Garamond"/>
              </w:rPr>
              <w:t>Kripke</w:t>
            </w:r>
            <w:proofErr w:type="spellEnd"/>
            <w:r>
              <w:rPr>
                <w:rFonts w:ascii="Garamond" w:hAnsi="Garamond"/>
              </w:rPr>
              <w:t xml:space="preserve">, Rae Langton, David Lewis, Jennifer Saul, Robert Stalnaker. </w:t>
            </w:r>
          </w:p>
          <w:p w14:paraId="10C6D595" w14:textId="77777777" w:rsidR="008B6300" w:rsidRDefault="008B6300" w:rsidP="00923826">
            <w:pPr>
              <w:widowControl w:val="0"/>
              <w:spacing w:after="0"/>
              <w:rPr>
                <w:rFonts w:ascii="Garamond" w:hAnsi="Garamond"/>
                <w:bCs/>
                <w:lang w:val="en-GB"/>
              </w:rPr>
            </w:pPr>
            <w:r w:rsidRPr="00485039">
              <w:rPr>
                <w:rFonts w:ascii="Garamond" w:hAnsi="Garamond"/>
                <w:bCs/>
                <w:lang w:val="en-US"/>
              </w:rPr>
              <w:t xml:space="preserve">If you have read through the syllabus and have questions, send the instructor an email at </w:t>
            </w:r>
            <w:hyperlink r:id="rId5" w:history="1">
              <w:r w:rsidRPr="00485039">
                <w:rPr>
                  <w:rStyle w:val="Hiperhivatkozs"/>
                  <w:rFonts w:ascii="Garamond" w:hAnsi="Garamond"/>
                  <w:bCs/>
                  <w:lang w:val="en-US"/>
                </w:rPr>
                <w:t>zvolenszky@nyu.edu</w:t>
              </w:r>
            </w:hyperlink>
            <w:r w:rsidRPr="00485039">
              <w:rPr>
                <w:rFonts w:ascii="Garamond" w:hAnsi="Garamond"/>
                <w:bCs/>
                <w:lang w:val="en-US"/>
              </w:rPr>
              <w:t xml:space="preserve"> </w:t>
            </w:r>
          </w:p>
        </w:tc>
      </w:tr>
    </w:tbl>
    <w:p w14:paraId="0380AA80" w14:textId="77777777" w:rsidR="00B52D43" w:rsidRDefault="00B52D43"/>
    <w:sectPr w:rsidR="00B5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70A9"/>
    <w:multiLevelType w:val="hybridMultilevel"/>
    <w:tmpl w:val="983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00"/>
    <w:rsid w:val="00627D24"/>
    <w:rsid w:val="008B6300"/>
    <w:rsid w:val="00B52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C6FE"/>
  <w15:chartTrackingRefBased/>
  <w15:docId w15:val="{F4563D14-FCF6-4A64-8D5E-9B7FA45C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6300"/>
    <w:pPr>
      <w:suppressAutoHyphens/>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B6300"/>
    <w:rPr>
      <w:color w:val="0000FF"/>
      <w:u w:val="single"/>
    </w:rPr>
  </w:style>
  <w:style w:type="paragraph" w:customStyle="1" w:styleId="Te1e1e1e1ble1e1e1e1zattartalom">
    <w:name w:val="Táe1e1e1e1bláe1e1e1e1zattartalom"/>
    <w:basedOn w:val="Norml"/>
    <w:uiPriority w:val="99"/>
    <w:qFormat/>
    <w:rsid w:val="008B6300"/>
    <w:pPr>
      <w:spacing w:after="200" w:line="276" w:lineRule="auto"/>
    </w:pPr>
    <w:rPr>
      <w:rFonts w:eastAsia="Times New Roman"/>
      <w:color w:val="000000"/>
      <w:kern w:val="2"/>
      <w:lang w:eastAsia="hu-HU" w:bidi="hi-IN"/>
    </w:rPr>
  </w:style>
  <w:style w:type="paragraph" w:styleId="Listaszerbekezds">
    <w:name w:val="List Paragraph"/>
    <w:basedOn w:val="Norml"/>
    <w:uiPriority w:val="34"/>
    <w:qFormat/>
    <w:rsid w:val="008B630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olenszky@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3323</Characters>
  <Application>Microsoft Office Word</Application>
  <DocSecurity>0</DocSecurity>
  <Lines>27</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2</cp:revision>
  <dcterms:created xsi:type="dcterms:W3CDTF">2021-11-18T13:47:00Z</dcterms:created>
  <dcterms:modified xsi:type="dcterms:W3CDTF">2021-11-18T13:47:00Z</dcterms:modified>
</cp:coreProperties>
</file>