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D2B21" w14:paraId="38443CF6" w14:textId="77777777" w:rsidTr="0092382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3A4" w14:textId="77777777" w:rsidR="009D2B21" w:rsidRDefault="009D2B21" w:rsidP="00923826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 w:cs="Times New Roman"/>
                <w:lang w:val="en-US"/>
              </w:rPr>
              <w:t xml:space="preserve">Code of course: </w:t>
            </w:r>
            <w:r>
              <w:rPr>
                <w:rFonts w:ascii="Garamond" w:hAnsi="Garamond"/>
                <w:b/>
                <w:bCs/>
                <w:lang w:val="en-US"/>
              </w:rPr>
              <w:t>BMI-LOTD-307E.03</w:t>
            </w:r>
          </w:p>
        </w:tc>
      </w:tr>
      <w:tr w:rsidR="009D2B21" w14:paraId="2C44DB6C" w14:textId="77777777" w:rsidTr="0092382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6FCD" w14:textId="77777777" w:rsidR="009D2B21" w:rsidRDefault="009D2B21" w:rsidP="00923826">
            <w:pPr>
              <w:widowControl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lang w:val="en-US"/>
              </w:rPr>
              <w:t xml:space="preserve">Title of course: </w:t>
            </w:r>
            <w:proofErr w:type="spellStart"/>
            <w:r>
              <w:rPr>
                <w:rFonts w:ascii="Garamond" w:hAnsi="Garamond"/>
                <w:b/>
                <w:bCs/>
              </w:rPr>
              <w:t>Dedekind-finite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</w:rPr>
              <w:t>structures</w:t>
            </w:r>
            <w:proofErr w:type="spellEnd"/>
          </w:p>
        </w:tc>
      </w:tr>
      <w:tr w:rsidR="009D2B21" w14:paraId="3F9A0F1F" w14:textId="77777777" w:rsidTr="0092382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90CE" w14:textId="77777777" w:rsidR="009D2B21" w:rsidRDefault="009D2B21" w:rsidP="00923826">
            <w:pPr>
              <w:widowControl w:val="0"/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Leader: </w:t>
            </w:r>
            <w:r w:rsidRPr="00CF2207">
              <w:rPr>
                <w:rFonts w:ascii="Garamond" w:hAnsi="Garamond"/>
                <w:b/>
                <w:bCs/>
                <w:lang w:val="en-GB"/>
              </w:rPr>
              <w:t>Amitayu Banerjee</w:t>
            </w:r>
          </w:p>
        </w:tc>
      </w:tr>
      <w:tr w:rsidR="009D2B21" w14:paraId="4F19687B" w14:textId="77777777" w:rsidTr="0092382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DB67" w14:textId="77777777" w:rsidR="009D2B21" w:rsidRPr="000F1CE6" w:rsidRDefault="009D2B21" w:rsidP="00923826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0F1CE6">
              <w:rPr>
                <w:rFonts w:ascii="Garamond" w:hAnsi="Garamond"/>
                <w:b/>
                <w:lang w:val="en-GB"/>
              </w:rPr>
              <w:t xml:space="preserve">General aim of the course: </w:t>
            </w:r>
            <w:proofErr w:type="spellStart"/>
            <w:r w:rsidRPr="000F1CE6">
              <w:rPr>
                <w:rFonts w:ascii="Garamond" w:hAnsi="Garamond"/>
              </w:rPr>
              <w:t>Study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possible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structures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admitted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by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certain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Dedekind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finite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0F1CE6">
              <w:rPr>
                <w:rFonts w:ascii="Garamond" w:hAnsi="Garamond"/>
              </w:rPr>
              <w:t>sets</w:t>
            </w:r>
            <w:proofErr w:type="spellEnd"/>
            <w:r w:rsidRPr="000F1CE6">
              <w:rPr>
                <w:rFonts w:ascii="Garamond" w:hAnsi="Garamond"/>
              </w:rPr>
              <w:t xml:space="preserve">  (</w:t>
            </w:r>
            <w:proofErr w:type="spellStart"/>
            <w:proofErr w:type="gramEnd"/>
            <w:r w:rsidRPr="000F1CE6">
              <w:rPr>
                <w:rFonts w:ascii="Garamond" w:hAnsi="Garamond"/>
              </w:rPr>
              <w:t>infinite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sets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that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do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not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have</w:t>
            </w:r>
            <w:proofErr w:type="spellEnd"/>
            <w:r w:rsidRPr="000F1CE6">
              <w:rPr>
                <w:rFonts w:ascii="Garamond" w:hAnsi="Garamond"/>
              </w:rPr>
              <w:t xml:space="preserve"> an </w:t>
            </w:r>
            <w:proofErr w:type="spellStart"/>
            <w:r w:rsidRPr="000F1CE6">
              <w:rPr>
                <w:rFonts w:ascii="Garamond" w:hAnsi="Garamond"/>
              </w:rPr>
              <w:t>infinite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countable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subset</w:t>
            </w:r>
            <w:proofErr w:type="spellEnd"/>
            <w:r w:rsidRPr="000F1CE6">
              <w:rPr>
                <w:rFonts w:ascii="Garamond" w:hAnsi="Garamond"/>
              </w:rPr>
              <w:t xml:space="preserve">, </w:t>
            </w:r>
            <w:proofErr w:type="spellStart"/>
            <w:r w:rsidRPr="000F1CE6">
              <w:rPr>
                <w:rFonts w:ascii="Garamond" w:hAnsi="Garamond"/>
              </w:rPr>
              <w:t>such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sets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exist</w:t>
            </w:r>
            <w:proofErr w:type="spellEnd"/>
            <w:r w:rsidRPr="000F1CE6">
              <w:rPr>
                <w:rFonts w:ascii="Garamond" w:hAnsi="Garamond"/>
              </w:rPr>
              <w:t xml:space="preserve"> in </w:t>
            </w:r>
            <w:proofErr w:type="spellStart"/>
            <w:r w:rsidRPr="000F1CE6">
              <w:rPr>
                <w:rFonts w:ascii="Garamond" w:hAnsi="Garamond"/>
              </w:rPr>
              <w:t>models</w:t>
            </w:r>
            <w:proofErr w:type="spellEnd"/>
            <w:r w:rsidRPr="000F1CE6">
              <w:rPr>
                <w:rFonts w:ascii="Garamond" w:hAnsi="Garamond"/>
              </w:rPr>
              <w:t xml:space="preserve"> of </w:t>
            </w:r>
            <w:proofErr w:type="spellStart"/>
            <w:r w:rsidRPr="000F1CE6">
              <w:rPr>
                <w:rFonts w:ascii="Garamond" w:hAnsi="Garamond"/>
              </w:rPr>
              <w:t>set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theory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where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Axiom</w:t>
            </w:r>
            <w:proofErr w:type="spellEnd"/>
            <w:r w:rsidRPr="000F1CE6">
              <w:rPr>
                <w:rFonts w:ascii="Garamond" w:hAnsi="Garamond"/>
              </w:rPr>
              <w:t xml:space="preserve"> of </w:t>
            </w:r>
            <w:proofErr w:type="spellStart"/>
            <w:r w:rsidRPr="000F1CE6">
              <w:rPr>
                <w:rFonts w:ascii="Garamond" w:hAnsi="Garamond"/>
              </w:rPr>
              <w:t>Choice</w:t>
            </w:r>
            <w:proofErr w:type="spellEnd"/>
            <w:r w:rsidRPr="000F1CE6">
              <w:rPr>
                <w:rFonts w:ascii="Garamond" w:hAnsi="Garamond"/>
              </w:rPr>
              <w:t xml:space="preserve"> is </w:t>
            </w:r>
            <w:proofErr w:type="spellStart"/>
            <w:r w:rsidRPr="000F1CE6">
              <w:rPr>
                <w:rFonts w:ascii="Garamond" w:hAnsi="Garamond"/>
              </w:rPr>
              <w:t>false</w:t>
            </w:r>
            <w:proofErr w:type="spellEnd"/>
            <w:r w:rsidRPr="000F1CE6">
              <w:rPr>
                <w:rFonts w:ascii="Garamond" w:hAnsi="Garamond"/>
              </w:rPr>
              <w:t xml:space="preserve">). </w:t>
            </w:r>
          </w:p>
          <w:p w14:paraId="63E7A84D" w14:textId="77777777" w:rsidR="009D2B21" w:rsidRPr="000F1CE6" w:rsidRDefault="009D2B21" w:rsidP="00923826">
            <w:pPr>
              <w:pStyle w:val="Te1e1e1e1ble1e1e1e1zattartalom"/>
              <w:spacing w:after="0"/>
              <w:rPr>
                <w:rFonts w:ascii="Garamond" w:hAnsi="Garamond"/>
              </w:rPr>
            </w:pPr>
            <w:r w:rsidRPr="000F1CE6">
              <w:rPr>
                <w:rFonts w:ascii="Garamond" w:hAnsi="Garamond" w:cs="Times New Roman"/>
                <w:b/>
                <w:lang w:val="en-GB"/>
              </w:rPr>
              <w:t xml:space="preserve">Content of the course: </w:t>
            </w:r>
            <w:r w:rsidRPr="000F1CE6">
              <w:rPr>
                <w:rFonts w:ascii="Garamond" w:hAnsi="Garamond" w:cs="Times New Roman"/>
                <w:bCs/>
                <w:lang w:val="en-GB"/>
              </w:rPr>
              <w:t>PH.D. thesis of</w:t>
            </w:r>
            <w:r w:rsidRPr="000F1CE6">
              <w:rPr>
                <w:rFonts w:ascii="Garamond" w:hAnsi="Garamond" w:cs="Times New Roman"/>
                <w:b/>
                <w:lang w:val="en-GB"/>
              </w:rPr>
              <w:t xml:space="preserve"> </w:t>
            </w:r>
            <w:r w:rsidRPr="000F1CE6">
              <w:rPr>
                <w:rFonts w:ascii="Garamond" w:hAnsi="Garamond"/>
              </w:rPr>
              <w:t xml:space="preserve">Agatha C. </w:t>
            </w:r>
            <w:proofErr w:type="spellStart"/>
            <w:r w:rsidRPr="000F1CE6">
              <w:rPr>
                <w:rFonts w:ascii="Garamond" w:hAnsi="Garamond"/>
              </w:rPr>
              <w:t>Walczak-Typke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under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supervision</w:t>
            </w:r>
            <w:proofErr w:type="spellEnd"/>
            <w:r w:rsidRPr="000F1CE6">
              <w:rPr>
                <w:rFonts w:ascii="Garamond" w:hAnsi="Garamond"/>
              </w:rPr>
              <w:t xml:space="preserve"> of Professor John K. </w:t>
            </w:r>
            <w:proofErr w:type="spellStart"/>
            <w:r w:rsidRPr="000F1CE6">
              <w:rPr>
                <w:rFonts w:ascii="Garamond" w:hAnsi="Garamond"/>
              </w:rPr>
              <w:t>Truss</w:t>
            </w:r>
            <w:proofErr w:type="spellEnd"/>
            <w:r w:rsidRPr="000F1CE6">
              <w:rPr>
                <w:rFonts w:ascii="Garamond" w:hAnsi="Garamond"/>
              </w:rPr>
              <w:t xml:space="preserve">. </w:t>
            </w:r>
            <w:proofErr w:type="spellStart"/>
            <w:r w:rsidRPr="000F1CE6">
              <w:rPr>
                <w:rFonts w:ascii="Garamond" w:hAnsi="Garamond"/>
              </w:rPr>
              <w:t>We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will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focus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on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following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topics</w:t>
            </w:r>
            <w:proofErr w:type="spellEnd"/>
            <w:r w:rsidRPr="000F1CE6">
              <w:rPr>
                <w:rFonts w:ascii="Garamond" w:hAnsi="Garamond"/>
              </w:rPr>
              <w:t xml:space="preserve">. </w:t>
            </w:r>
          </w:p>
          <w:p w14:paraId="4930806B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/>
                <w:lang w:val="en-GB"/>
              </w:rPr>
            </w:pPr>
            <w:proofErr w:type="spellStart"/>
            <w:r w:rsidRPr="000F1CE6">
              <w:rPr>
                <w:rFonts w:ascii="Garamond" w:hAnsi="Garamond"/>
              </w:rPr>
              <w:t>Model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theoretical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basics</w:t>
            </w:r>
            <w:proofErr w:type="spellEnd"/>
            <w:r w:rsidRPr="000F1CE6">
              <w:rPr>
                <w:rFonts w:ascii="Garamond" w:hAnsi="Garamond"/>
              </w:rPr>
              <w:t>.</w:t>
            </w:r>
          </w:p>
          <w:p w14:paraId="64BB58AB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/>
                <w:lang w:val="en-GB"/>
              </w:rPr>
            </w:pPr>
            <w:proofErr w:type="spellStart"/>
            <w:r w:rsidRPr="000F1CE6">
              <w:rPr>
                <w:rFonts w:ascii="Garamond" w:hAnsi="Garamond"/>
              </w:rPr>
              <w:t>Definitions</w:t>
            </w:r>
            <w:proofErr w:type="spellEnd"/>
            <w:r w:rsidRPr="000F1CE6">
              <w:rPr>
                <w:rFonts w:ascii="Garamond" w:hAnsi="Garamond"/>
              </w:rPr>
              <w:t xml:space="preserve"> of </w:t>
            </w:r>
            <w:proofErr w:type="spellStart"/>
            <w:r w:rsidRPr="000F1CE6">
              <w:rPr>
                <w:rFonts w:ascii="Garamond" w:hAnsi="Garamond"/>
              </w:rPr>
              <w:t>Dedekind-finite</w:t>
            </w:r>
            <w:proofErr w:type="spellEnd"/>
            <w:r w:rsidRPr="000F1CE6">
              <w:rPr>
                <w:rFonts w:ascii="Garamond" w:hAnsi="Garamond"/>
              </w:rPr>
              <w:t xml:space="preserve"> (IV-</w:t>
            </w:r>
            <w:proofErr w:type="spellStart"/>
            <w:r w:rsidRPr="000F1CE6">
              <w:rPr>
                <w:rFonts w:ascii="Garamond" w:hAnsi="Garamond"/>
              </w:rPr>
              <w:t>finite</w:t>
            </w:r>
            <w:proofErr w:type="spellEnd"/>
            <w:r w:rsidRPr="000F1CE6">
              <w:rPr>
                <w:rFonts w:ascii="Garamond" w:hAnsi="Garamond"/>
              </w:rPr>
              <w:t xml:space="preserve">), </w:t>
            </w:r>
            <w:proofErr w:type="spellStart"/>
            <w:r w:rsidRPr="000F1CE6">
              <w:rPr>
                <w:rFonts w:ascii="Garamond" w:hAnsi="Garamond"/>
              </w:rPr>
              <w:t>weakly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Dedekind-finite</w:t>
            </w:r>
            <w:proofErr w:type="spellEnd"/>
            <w:r w:rsidRPr="000F1CE6">
              <w:rPr>
                <w:rFonts w:ascii="Garamond" w:hAnsi="Garamond"/>
              </w:rPr>
              <w:t xml:space="preserve"> (III-</w:t>
            </w:r>
            <w:proofErr w:type="spellStart"/>
            <w:r w:rsidRPr="000F1CE6">
              <w:rPr>
                <w:rFonts w:ascii="Garamond" w:hAnsi="Garamond"/>
              </w:rPr>
              <w:t>finite</w:t>
            </w:r>
            <w:proofErr w:type="spellEnd"/>
            <w:r w:rsidRPr="000F1CE6">
              <w:rPr>
                <w:rFonts w:ascii="Garamond" w:hAnsi="Garamond"/>
              </w:rPr>
              <w:t>), (II-</w:t>
            </w:r>
            <w:proofErr w:type="spellStart"/>
            <w:r w:rsidRPr="000F1CE6">
              <w:rPr>
                <w:rFonts w:ascii="Garamond" w:hAnsi="Garamond"/>
              </w:rPr>
              <w:t>finite</w:t>
            </w:r>
            <w:proofErr w:type="spellEnd"/>
            <w:r w:rsidRPr="000F1CE6">
              <w:rPr>
                <w:rFonts w:ascii="Garamond" w:hAnsi="Garamond"/>
              </w:rPr>
              <w:t xml:space="preserve">), </w:t>
            </w:r>
            <w:proofErr w:type="spellStart"/>
            <w:r w:rsidRPr="000F1CE6">
              <w:rPr>
                <w:rFonts w:ascii="Garamond" w:hAnsi="Garamond"/>
              </w:rPr>
              <w:t>Mostowski-finite</w:t>
            </w:r>
            <w:proofErr w:type="spellEnd"/>
            <w:r w:rsidRPr="000F1CE6">
              <w:rPr>
                <w:rFonts w:ascii="Garamond" w:hAnsi="Garamond"/>
              </w:rPr>
              <w:t xml:space="preserve">, </w:t>
            </w:r>
            <w:proofErr w:type="spellStart"/>
            <w:r w:rsidRPr="000F1CE6">
              <w:rPr>
                <w:rFonts w:ascii="Garamond" w:hAnsi="Garamond"/>
              </w:rPr>
              <w:t>strictly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Mostowski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finite</w:t>
            </w:r>
            <w:proofErr w:type="spellEnd"/>
            <w:r w:rsidRPr="000F1CE6">
              <w:rPr>
                <w:rFonts w:ascii="Garamond" w:hAnsi="Garamond"/>
              </w:rPr>
              <w:t xml:space="preserve"> and </w:t>
            </w:r>
            <w:proofErr w:type="spellStart"/>
            <w:r w:rsidRPr="000F1CE6">
              <w:rPr>
                <w:rFonts w:ascii="Garamond" w:hAnsi="Garamond"/>
              </w:rPr>
              <w:t>amorphous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sets</w:t>
            </w:r>
            <w:proofErr w:type="spellEnd"/>
            <w:r w:rsidRPr="000F1CE6">
              <w:rPr>
                <w:rFonts w:ascii="Garamond" w:hAnsi="Garamond"/>
              </w:rPr>
              <w:t>.</w:t>
            </w:r>
          </w:p>
          <w:p w14:paraId="0245831F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/>
                <w:lang w:val="en-GB"/>
              </w:rPr>
            </w:pPr>
            <w:proofErr w:type="spellStart"/>
            <w:r w:rsidRPr="000F1CE6">
              <w:rPr>
                <w:rFonts w:ascii="Garamond" w:hAnsi="Garamond"/>
              </w:rPr>
              <w:t>Fraenkel</w:t>
            </w:r>
            <w:proofErr w:type="spellEnd"/>
            <w:r w:rsidRPr="000F1CE6">
              <w:rPr>
                <w:rFonts w:ascii="Garamond" w:hAnsi="Garamond"/>
              </w:rPr>
              <w:t>--</w:t>
            </w:r>
            <w:proofErr w:type="spellStart"/>
            <w:r w:rsidRPr="000F1CE6">
              <w:rPr>
                <w:rFonts w:ascii="Garamond" w:hAnsi="Garamond"/>
              </w:rPr>
              <w:t>Mostowski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Permutation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model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constructions</w:t>
            </w:r>
            <w:proofErr w:type="spellEnd"/>
            <w:r w:rsidRPr="000F1CE6">
              <w:rPr>
                <w:rFonts w:ascii="Garamond" w:hAnsi="Garamond"/>
              </w:rPr>
              <w:t xml:space="preserve">. </w:t>
            </w:r>
          </w:p>
          <w:p w14:paraId="3FC3FE6C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/>
                <w:lang w:val="en-GB"/>
              </w:rPr>
            </w:pPr>
            <w:proofErr w:type="spellStart"/>
            <w:r w:rsidRPr="000F1CE6">
              <w:rPr>
                <w:rFonts w:ascii="Garamond" w:hAnsi="Garamond"/>
              </w:rPr>
              <w:t>Plotkin’s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construction</w:t>
            </w:r>
            <w:proofErr w:type="spellEnd"/>
            <w:r w:rsidRPr="000F1CE6">
              <w:rPr>
                <w:rFonts w:ascii="Garamond" w:hAnsi="Garamond"/>
              </w:rPr>
              <w:t>.</w:t>
            </w:r>
          </w:p>
          <w:p w14:paraId="5D045DFC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/>
                <w:lang w:val="en-GB"/>
              </w:rPr>
            </w:pPr>
            <w:proofErr w:type="spellStart"/>
            <w:r w:rsidRPr="000F1CE6">
              <w:rPr>
                <w:rFonts w:ascii="Garamond" w:hAnsi="Garamond"/>
              </w:rPr>
              <w:t>Weakly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Dedekind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finite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structures</w:t>
            </w:r>
            <w:proofErr w:type="spellEnd"/>
            <w:r w:rsidRPr="000F1CE6">
              <w:rPr>
                <w:rFonts w:ascii="Garamond" w:hAnsi="Garamond"/>
              </w:rPr>
              <w:t>.</w:t>
            </w:r>
          </w:p>
          <w:p w14:paraId="0B967AD8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/>
                <w:lang w:val="en-GB"/>
              </w:rPr>
            </w:pPr>
            <w:proofErr w:type="spellStart"/>
            <w:r w:rsidRPr="000F1CE6">
              <w:rPr>
                <w:rFonts w:ascii="Garamond" w:hAnsi="Garamond"/>
              </w:rPr>
              <w:t>Strictly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Mostowski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Finite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structures</w:t>
            </w:r>
            <w:proofErr w:type="spellEnd"/>
            <w:r w:rsidRPr="000F1CE6">
              <w:rPr>
                <w:rFonts w:ascii="Garamond" w:hAnsi="Garamond"/>
              </w:rPr>
              <w:t>.</w:t>
            </w:r>
          </w:p>
          <w:p w14:paraId="26F37255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Cs/>
                <w:lang w:val="en-GB"/>
              </w:rPr>
            </w:pPr>
            <w:r w:rsidRPr="000F1CE6">
              <w:rPr>
                <w:rFonts w:ascii="Garamond" w:hAnsi="Garamond" w:cs="Times New Roman"/>
                <w:bCs/>
                <w:lang w:val="en-GB"/>
              </w:rPr>
              <w:t>Structures admitting MT rank.</w:t>
            </w:r>
          </w:p>
          <w:p w14:paraId="6475F3C1" w14:textId="77777777" w:rsidR="009D2B21" w:rsidRPr="000F1CE6" w:rsidRDefault="009D2B21" w:rsidP="009D2B21">
            <w:pPr>
              <w:pStyle w:val="Te1e1e1e1ble1e1e1e1zattartalo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Garamond" w:hAnsi="Garamond" w:cs="Times New Roman"/>
                <w:bCs/>
                <w:lang w:val="en-GB"/>
              </w:rPr>
            </w:pPr>
            <w:r w:rsidRPr="000F1CE6">
              <w:rPr>
                <w:rFonts w:ascii="Garamond" w:hAnsi="Garamond" w:cs="Times New Roman"/>
                <w:bCs/>
                <w:lang w:val="en-GB"/>
              </w:rPr>
              <w:t xml:space="preserve">Methods from Infinitary logic. </w:t>
            </w:r>
          </w:p>
          <w:p w14:paraId="1C151AE4" w14:textId="77777777" w:rsidR="009D2B21" w:rsidRPr="000F1CE6" w:rsidRDefault="009D2B21" w:rsidP="00923826">
            <w:pPr>
              <w:pStyle w:val="Te1e1e1e1ble1e1e1e1zattartalom"/>
              <w:spacing w:after="0"/>
              <w:rPr>
                <w:rFonts w:ascii="Garamond" w:hAnsi="Garamond"/>
                <w:bCs/>
                <w:lang w:val="en-GB"/>
              </w:rPr>
            </w:pPr>
            <w:r w:rsidRPr="000F1CE6">
              <w:rPr>
                <w:rFonts w:ascii="Garamond" w:hAnsi="Garamond"/>
                <w:b/>
                <w:lang w:val="en-GB"/>
              </w:rPr>
              <w:t xml:space="preserve">Grading criteria, specific requirements: </w:t>
            </w:r>
            <w:r w:rsidRPr="000F1CE6">
              <w:rPr>
                <w:rFonts w:ascii="Garamond" w:hAnsi="Garamond"/>
                <w:bCs/>
                <w:lang w:val="en-GB"/>
              </w:rPr>
              <w:t xml:space="preserve">Seminar/Talk </w:t>
            </w:r>
          </w:p>
          <w:p w14:paraId="70B56641" w14:textId="77777777" w:rsidR="009D2B21" w:rsidRPr="000F1CE6" w:rsidRDefault="009D2B21" w:rsidP="00923826">
            <w:pPr>
              <w:spacing w:after="0"/>
              <w:rPr>
                <w:rFonts w:ascii="Garamond" w:hAnsi="Garamond"/>
                <w:b/>
                <w:lang w:val="en-GB"/>
              </w:rPr>
            </w:pPr>
            <w:r w:rsidRPr="000F1CE6">
              <w:rPr>
                <w:rFonts w:ascii="Garamond" w:hAnsi="Garamond"/>
                <w:b/>
                <w:lang w:val="en-GB"/>
              </w:rPr>
              <w:t xml:space="preserve">Required reading: </w:t>
            </w:r>
            <w:r w:rsidRPr="000F1CE6">
              <w:rPr>
                <w:rFonts w:ascii="Garamond" w:hAnsi="Garamond" w:cs="Times New Roman"/>
                <w:bCs/>
                <w:lang w:val="en-GB"/>
              </w:rPr>
              <w:t xml:space="preserve">PH.D. thesis of </w:t>
            </w:r>
            <w:r w:rsidRPr="000F1CE6">
              <w:rPr>
                <w:rFonts w:ascii="Garamond" w:hAnsi="Garamond"/>
                <w:bCs/>
              </w:rPr>
              <w:t xml:space="preserve">Agatha C. </w:t>
            </w:r>
            <w:proofErr w:type="spellStart"/>
            <w:r w:rsidRPr="000F1CE6">
              <w:rPr>
                <w:rFonts w:ascii="Garamond" w:hAnsi="Garamond"/>
                <w:bCs/>
              </w:rPr>
              <w:t>Walczak-Typke</w:t>
            </w:r>
            <w:proofErr w:type="spellEnd"/>
          </w:p>
          <w:p w14:paraId="7A20CC1D" w14:textId="77777777" w:rsidR="009D2B21" w:rsidRPr="000F1CE6" w:rsidRDefault="009D2B21" w:rsidP="00923826">
            <w:pPr>
              <w:spacing w:after="0"/>
              <w:rPr>
                <w:rFonts w:ascii="Garamond" w:hAnsi="Garamond"/>
              </w:rPr>
            </w:pPr>
            <w:r w:rsidRPr="000F1CE6">
              <w:rPr>
                <w:rFonts w:ascii="Garamond" w:hAnsi="Garamond"/>
                <w:b/>
                <w:lang w:val="en-GB"/>
              </w:rPr>
              <w:t xml:space="preserve">Suggested further reading: </w:t>
            </w:r>
            <w:r w:rsidRPr="000F1CE6">
              <w:rPr>
                <w:rFonts w:ascii="Garamond" w:hAnsi="Garamond"/>
                <w:bCs/>
                <w:lang w:val="en-GB"/>
              </w:rPr>
              <w:t>1.</w:t>
            </w:r>
            <w:r w:rsidRPr="000F1CE6">
              <w:rPr>
                <w:rFonts w:ascii="Garamond" w:hAnsi="Garamond"/>
                <w:b/>
                <w:lang w:val="en-GB"/>
              </w:rPr>
              <w:t xml:space="preserve"> </w:t>
            </w:r>
            <w:r w:rsidRPr="000F1CE6">
              <w:rPr>
                <w:rFonts w:ascii="Garamond" w:hAnsi="Garamond"/>
              </w:rPr>
              <w:t xml:space="preserve">W. </w:t>
            </w:r>
            <w:proofErr w:type="spellStart"/>
            <w:r w:rsidRPr="000F1CE6">
              <w:rPr>
                <w:rFonts w:ascii="Garamond" w:hAnsi="Garamond"/>
              </w:rPr>
              <w:t>Hodges</w:t>
            </w:r>
            <w:proofErr w:type="spellEnd"/>
            <w:r w:rsidRPr="000F1CE6">
              <w:rPr>
                <w:rFonts w:ascii="Garamond" w:hAnsi="Garamond"/>
              </w:rPr>
              <w:t xml:space="preserve">, </w:t>
            </w:r>
            <w:proofErr w:type="spellStart"/>
            <w:r w:rsidRPr="000F1CE6">
              <w:rPr>
                <w:rFonts w:ascii="Garamond" w:hAnsi="Garamond"/>
              </w:rPr>
              <w:t>Model</w:t>
            </w:r>
            <w:proofErr w:type="spellEnd"/>
            <w:r w:rsidRPr="000F1CE6">
              <w:rPr>
                <w:rFonts w:ascii="Garamond" w:hAnsi="Garamond"/>
              </w:rPr>
              <w:t xml:space="preserve"> </w:t>
            </w:r>
            <w:proofErr w:type="spellStart"/>
            <w:r w:rsidRPr="000F1CE6">
              <w:rPr>
                <w:rFonts w:ascii="Garamond" w:hAnsi="Garamond"/>
              </w:rPr>
              <w:t>Theory</w:t>
            </w:r>
            <w:proofErr w:type="spellEnd"/>
            <w:r w:rsidRPr="000F1CE6">
              <w:rPr>
                <w:rFonts w:ascii="Garamond" w:hAnsi="Garamond"/>
              </w:rPr>
              <w:t>.</w:t>
            </w:r>
          </w:p>
          <w:p w14:paraId="57436227" w14:textId="77777777" w:rsidR="009D2B21" w:rsidRDefault="009D2B21" w:rsidP="00923826">
            <w:pPr>
              <w:pStyle w:val="Szvegtrzs"/>
              <w:widowControl w:val="0"/>
              <w:tabs>
                <w:tab w:val="left" w:pos="0"/>
                <w:tab w:val="left" w:pos="707"/>
              </w:tabs>
              <w:spacing w:after="0"/>
              <w:ind w:left="707" w:hanging="283"/>
              <w:rPr>
                <w:rFonts w:ascii="Garamond" w:hAnsi="Garamond"/>
                <w:sz w:val="22"/>
                <w:szCs w:val="22"/>
              </w:rPr>
            </w:pPr>
            <w:r w:rsidRPr="000F1CE6">
              <w:rPr>
                <w:rFonts w:ascii="Garamond" w:hAnsi="Garamond"/>
                <w:sz w:val="22"/>
                <w:szCs w:val="22"/>
              </w:rPr>
              <w:t xml:space="preserve">                                      2. T. </w:t>
            </w:r>
            <w:proofErr w:type="spellStart"/>
            <w:r w:rsidRPr="000F1CE6">
              <w:rPr>
                <w:rFonts w:ascii="Garamond" w:hAnsi="Garamond"/>
                <w:sz w:val="22"/>
                <w:szCs w:val="22"/>
              </w:rPr>
              <w:t>Jech</w:t>
            </w:r>
            <w:proofErr w:type="spellEnd"/>
            <w:r w:rsidRPr="000F1CE6">
              <w:rPr>
                <w:rFonts w:ascii="Garamond" w:hAnsi="Garamond"/>
                <w:sz w:val="22"/>
                <w:szCs w:val="22"/>
              </w:rPr>
              <w:t xml:space="preserve">, The </w:t>
            </w:r>
            <w:proofErr w:type="spellStart"/>
            <w:r w:rsidRPr="000F1CE6">
              <w:rPr>
                <w:rFonts w:ascii="Garamond" w:hAnsi="Garamond"/>
                <w:sz w:val="22"/>
                <w:szCs w:val="22"/>
              </w:rPr>
              <w:t>Axiom</w:t>
            </w:r>
            <w:proofErr w:type="spellEnd"/>
            <w:r w:rsidRPr="000F1CE6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0F1CE6">
              <w:rPr>
                <w:rFonts w:ascii="Garamond" w:hAnsi="Garamond"/>
                <w:sz w:val="22"/>
                <w:szCs w:val="22"/>
              </w:rPr>
              <w:t>Choice</w:t>
            </w:r>
            <w:proofErr w:type="spellEnd"/>
            <w:r w:rsidRPr="000F1CE6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3B6A99D8" w14:textId="77777777" w:rsidR="00B52D43" w:rsidRDefault="00B52D43"/>
    <w:sectPr w:rsidR="00B5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70F2"/>
    <w:multiLevelType w:val="hybridMultilevel"/>
    <w:tmpl w:val="E83A8026"/>
    <w:lvl w:ilvl="0" w:tplc="AE6ABA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21"/>
    <w:rsid w:val="009D2B21"/>
    <w:rsid w:val="00B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5317"/>
  <w15:chartTrackingRefBased/>
  <w15:docId w15:val="{5F80507C-79B8-4BE5-B29F-426353D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B21"/>
    <w:pPr>
      <w:suppressAutoHyphens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D2B21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D2B2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1e1e1e1ble1e1e1e1zattartalom">
    <w:name w:val="Táe1e1e1e1bláe1e1e1e1zattartalom"/>
    <w:basedOn w:val="Norml"/>
    <w:uiPriority w:val="99"/>
    <w:qFormat/>
    <w:rsid w:val="009D2B21"/>
    <w:pPr>
      <w:spacing w:after="200" w:line="276" w:lineRule="auto"/>
    </w:pPr>
    <w:rPr>
      <w:rFonts w:eastAsia="Times New Roman"/>
      <w:color w:val="000000"/>
      <w:kern w:val="2"/>
      <w:lang w:eastAsia="hu-H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2021-11-18T14:13:00Z</dcterms:created>
  <dcterms:modified xsi:type="dcterms:W3CDTF">2021-11-18T14:13:00Z</dcterms:modified>
</cp:coreProperties>
</file>