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FB0C39" w14:paraId="73BC20A2" w14:textId="77777777" w:rsidTr="0055341A">
        <w:tc>
          <w:tcPr>
            <w:tcW w:w="9212" w:type="dxa"/>
          </w:tcPr>
          <w:p w14:paraId="31F3DEEE" w14:textId="30A3EBD0" w:rsidR="00205778" w:rsidRPr="00FB0C39" w:rsidRDefault="00205778" w:rsidP="003A736F">
            <w:pPr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  <w:r w:rsidRPr="00FB0C39">
              <w:rPr>
                <w:rFonts w:ascii="Garamond" w:hAnsi="Garamond"/>
                <w:b/>
                <w:bCs/>
                <w:sz w:val="22"/>
                <w:szCs w:val="22"/>
              </w:rPr>
              <w:t>Kurzus kódja</w:t>
            </w:r>
            <w:r w:rsidRPr="00FB0C39">
              <w:rPr>
                <w:rFonts w:ascii="Garamond" w:hAnsi="Garamond"/>
                <w:sz w:val="22"/>
                <w:szCs w:val="22"/>
              </w:rPr>
              <w:t>:</w:t>
            </w:r>
            <w:r w:rsidR="003A736F" w:rsidRPr="00FB0C3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B0C39" w:rsidRPr="00FB0C39">
              <w:rPr>
                <w:rFonts w:ascii="Garamond" w:hAnsi="Garamond"/>
                <w:sz w:val="22"/>
                <w:szCs w:val="22"/>
              </w:rPr>
              <w:t>BBN-FIL-213</w:t>
            </w:r>
            <w:r w:rsidR="00FB0C39">
              <w:rPr>
                <w:rFonts w:ascii="Garamond" w:hAnsi="Garamond"/>
                <w:sz w:val="22"/>
                <w:szCs w:val="22"/>
              </w:rPr>
              <w:t>;</w:t>
            </w:r>
            <w:r w:rsidR="00FB0C39" w:rsidRPr="00FB0C39">
              <w:rPr>
                <w:rFonts w:ascii="Garamond" w:hAnsi="Garamond"/>
                <w:sz w:val="22"/>
                <w:szCs w:val="22"/>
              </w:rPr>
              <w:t xml:space="preserve"> BMA-FILD-213</w:t>
            </w:r>
            <w:r w:rsidR="00FB0C39">
              <w:rPr>
                <w:rFonts w:ascii="Garamond" w:hAnsi="Garamond"/>
                <w:sz w:val="22"/>
                <w:szCs w:val="22"/>
              </w:rPr>
              <w:t>;</w:t>
            </w:r>
            <w:r w:rsidR="00FB0C39" w:rsidRPr="00FB0C39">
              <w:rPr>
                <w:rFonts w:ascii="Garamond" w:hAnsi="Garamond"/>
                <w:sz w:val="22"/>
                <w:szCs w:val="22"/>
              </w:rPr>
              <w:t xml:space="preserve"> BBN-VAL11-141.02</w:t>
            </w:r>
            <w:r w:rsidR="00FB0C39">
              <w:rPr>
                <w:rFonts w:ascii="Garamond" w:hAnsi="Garamond"/>
                <w:sz w:val="22"/>
                <w:szCs w:val="22"/>
              </w:rPr>
              <w:t>;</w:t>
            </w:r>
            <w:r w:rsidR="00FB0C39" w:rsidRPr="00FB0C39">
              <w:rPr>
                <w:rFonts w:ascii="Garamond" w:hAnsi="Garamond"/>
                <w:sz w:val="22"/>
                <w:szCs w:val="22"/>
              </w:rPr>
              <w:t xml:space="preserve"> BBV-203.04</w:t>
            </w:r>
            <w:r w:rsidR="00FB0C39">
              <w:rPr>
                <w:rFonts w:ascii="Garamond" w:hAnsi="Garamond"/>
                <w:sz w:val="22"/>
                <w:szCs w:val="22"/>
              </w:rPr>
              <w:t>;</w:t>
            </w:r>
            <w:r w:rsidR="00FB0C39" w:rsidRPr="00FB0C39">
              <w:rPr>
                <w:rFonts w:ascii="Garamond" w:hAnsi="Garamond"/>
                <w:sz w:val="22"/>
                <w:szCs w:val="22"/>
              </w:rPr>
              <w:t xml:space="preserve"> BMVD-203.04</w:t>
            </w:r>
            <w:r w:rsidR="00FB0C39">
              <w:rPr>
                <w:rFonts w:ascii="Garamond" w:hAnsi="Garamond"/>
                <w:sz w:val="22"/>
                <w:szCs w:val="22"/>
              </w:rPr>
              <w:t>;</w:t>
            </w:r>
            <w:r w:rsidR="00FB0C39" w:rsidRPr="00FB0C39">
              <w:rPr>
                <w:rFonts w:ascii="Garamond" w:hAnsi="Garamond"/>
                <w:sz w:val="22"/>
                <w:szCs w:val="22"/>
              </w:rPr>
              <w:t xml:space="preserve"> BMA-VALD-403.03</w:t>
            </w:r>
            <w:r w:rsidR="00FB0C39">
              <w:rPr>
                <w:rFonts w:ascii="Garamond" w:hAnsi="Garamond"/>
                <w:sz w:val="22"/>
                <w:szCs w:val="22"/>
              </w:rPr>
              <w:t>;</w:t>
            </w:r>
            <w:r w:rsidR="00FB0C39" w:rsidRPr="00FB0C39">
              <w:rPr>
                <w:rFonts w:ascii="Garamond" w:hAnsi="Garamond"/>
                <w:sz w:val="22"/>
                <w:szCs w:val="22"/>
              </w:rPr>
              <w:t xml:space="preserve"> BMA-VALD-307.14</w:t>
            </w:r>
          </w:p>
        </w:tc>
      </w:tr>
      <w:tr w:rsidR="00205778" w:rsidRPr="00AD269F" w14:paraId="1EC44083" w14:textId="77777777" w:rsidTr="0055341A">
        <w:tc>
          <w:tcPr>
            <w:tcW w:w="9212" w:type="dxa"/>
          </w:tcPr>
          <w:p w14:paraId="133CCE55" w14:textId="77777777" w:rsidR="00205778" w:rsidRPr="00AD269F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b/>
                <w:bCs/>
                <w:sz w:val="22"/>
                <w:szCs w:val="22"/>
              </w:rPr>
              <w:t>Kurzus megnevezése:</w:t>
            </w:r>
            <w:r w:rsidR="003A736F" w:rsidRPr="00AD269F">
              <w:rPr>
                <w:rFonts w:ascii="Garamond" w:hAnsi="Garamond"/>
                <w:sz w:val="22"/>
                <w:szCs w:val="22"/>
              </w:rPr>
              <w:t xml:space="preserve"> A középkori filozófia és teológia története</w:t>
            </w:r>
          </w:p>
        </w:tc>
      </w:tr>
      <w:tr w:rsidR="00205778" w:rsidRPr="00AD269F" w14:paraId="1151B5DB" w14:textId="77777777" w:rsidTr="0055341A">
        <w:tc>
          <w:tcPr>
            <w:tcW w:w="9212" w:type="dxa"/>
          </w:tcPr>
          <w:p w14:paraId="69EBACD1" w14:textId="77777777" w:rsidR="00205778" w:rsidRPr="00AD269F" w:rsidRDefault="00D439CA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b/>
                <w:bCs/>
                <w:sz w:val="22"/>
                <w:szCs w:val="22"/>
              </w:rPr>
              <w:t>Kurzus megnevezése angolul</w:t>
            </w:r>
            <w:r w:rsidR="00737B5D" w:rsidRPr="00AD269F">
              <w:rPr>
                <w:rFonts w:ascii="Garamond" w:hAnsi="Garamond"/>
                <w:sz w:val="22"/>
                <w:szCs w:val="22"/>
              </w:rPr>
              <w:t>:</w:t>
            </w:r>
            <w:r w:rsidR="003A736F" w:rsidRPr="00AD26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A736F" w:rsidRPr="00AD269F">
              <w:rPr>
                <w:rFonts w:ascii="Garamond" w:hAnsi="Garamond"/>
                <w:sz w:val="22"/>
                <w:szCs w:val="22"/>
              </w:rPr>
              <w:t>History</w:t>
            </w:r>
            <w:proofErr w:type="spellEnd"/>
            <w:r w:rsidR="003A736F" w:rsidRPr="00AD269F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="003A736F" w:rsidRPr="00AD269F">
              <w:rPr>
                <w:rFonts w:ascii="Garamond" w:hAnsi="Garamond"/>
                <w:sz w:val="22"/>
                <w:szCs w:val="22"/>
              </w:rPr>
              <w:t>Medieval</w:t>
            </w:r>
            <w:proofErr w:type="spellEnd"/>
            <w:r w:rsidR="003A736F" w:rsidRPr="00AD26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A736F" w:rsidRPr="00AD269F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="003A736F" w:rsidRPr="00AD269F">
              <w:rPr>
                <w:rFonts w:ascii="Garamond" w:hAnsi="Garamond"/>
                <w:sz w:val="22"/>
                <w:szCs w:val="22"/>
              </w:rPr>
              <w:t xml:space="preserve"> and </w:t>
            </w:r>
            <w:proofErr w:type="spellStart"/>
            <w:r w:rsidR="003A736F" w:rsidRPr="00AD269F">
              <w:rPr>
                <w:rFonts w:ascii="Garamond" w:hAnsi="Garamond"/>
                <w:sz w:val="22"/>
                <w:szCs w:val="22"/>
              </w:rPr>
              <w:t>Theology</w:t>
            </w:r>
            <w:proofErr w:type="spellEnd"/>
          </w:p>
        </w:tc>
      </w:tr>
      <w:tr w:rsidR="00D439CA" w:rsidRPr="00AD269F" w14:paraId="32BEBD36" w14:textId="77777777" w:rsidTr="0055341A">
        <w:tc>
          <w:tcPr>
            <w:tcW w:w="9212" w:type="dxa"/>
          </w:tcPr>
          <w:p w14:paraId="06BA4391" w14:textId="52C6448B" w:rsidR="00737B5D" w:rsidRPr="00AD269F" w:rsidRDefault="00FA58F7" w:rsidP="00685D8E">
            <w:pPr>
              <w:suppressAutoHyphens/>
              <w:jc w:val="center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 w:rsidRPr="00AD269F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Időpont és h</w:t>
            </w:r>
            <w:r w:rsidR="001C3BA9" w:rsidRPr="00AD269F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elyszín: </w:t>
            </w:r>
            <w:r w:rsidR="00143067" w:rsidRPr="00AD269F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csütörtök</w:t>
            </w:r>
            <w:r w:rsidR="001C3BA9" w:rsidRPr="00AD269F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 1</w:t>
            </w:r>
            <w:r w:rsidR="00143067" w:rsidRPr="00AD269F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4</w:t>
            </w:r>
            <w:r w:rsidR="001C3BA9" w:rsidRPr="00AD269F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h, </w:t>
            </w:r>
            <w:r w:rsidR="00A55BA0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i épület, I. emelet 129.</w:t>
            </w:r>
          </w:p>
        </w:tc>
      </w:tr>
      <w:tr w:rsidR="00F2521B" w:rsidRPr="00AD269F" w14:paraId="371C4B16" w14:textId="77777777" w:rsidTr="0055341A">
        <w:tc>
          <w:tcPr>
            <w:tcW w:w="9212" w:type="dxa"/>
          </w:tcPr>
          <w:p w14:paraId="5A6D888C" w14:textId="77777777" w:rsidR="00F2521B" w:rsidRPr="00AD269F" w:rsidRDefault="00F2521B" w:rsidP="00E6609E">
            <w:pPr>
              <w:suppressAutoHyphens/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b/>
                <w:bCs/>
                <w:sz w:val="22"/>
                <w:szCs w:val="22"/>
              </w:rPr>
              <w:t>Kurzus előadója</w:t>
            </w:r>
            <w:r w:rsidRPr="00AD269F">
              <w:rPr>
                <w:rFonts w:ascii="Garamond" w:hAnsi="Garamond"/>
                <w:sz w:val="22"/>
                <w:szCs w:val="22"/>
              </w:rPr>
              <w:t>:</w:t>
            </w:r>
            <w:r w:rsidR="003A736F" w:rsidRPr="00AD269F">
              <w:rPr>
                <w:rFonts w:ascii="Garamond" w:hAnsi="Garamond"/>
                <w:sz w:val="22"/>
                <w:szCs w:val="22"/>
              </w:rPr>
              <w:t xml:space="preserve"> Borbély Gábor</w:t>
            </w:r>
          </w:p>
        </w:tc>
      </w:tr>
    </w:tbl>
    <w:p w14:paraId="537957DE" w14:textId="77777777" w:rsidR="0055341A" w:rsidRPr="00AD269F" w:rsidRDefault="0055341A" w:rsidP="0055341A">
      <w:pPr>
        <w:rPr>
          <w:rFonts w:ascii="Garamond" w:hAnsi="Garamond"/>
          <w:sz w:val="22"/>
          <w:szCs w:val="22"/>
        </w:rPr>
      </w:pPr>
    </w:p>
    <w:p w14:paraId="712CC76C" w14:textId="77777777" w:rsidR="0055341A" w:rsidRPr="00AD269F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AD269F" w14:paraId="2A5475C8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8AF" w14:textId="21F0EF8D" w:rsidR="0055341A" w:rsidRPr="00AD269F" w:rsidRDefault="0055341A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1" w:name="_Hlk69747129"/>
            <w:r w:rsidRPr="00AD269F">
              <w:rPr>
                <w:rFonts w:ascii="Garamond" w:hAnsi="Garamond"/>
                <w:b/>
                <w:sz w:val="22"/>
                <w:szCs w:val="22"/>
              </w:rPr>
              <w:t>Tantárgy tartalma</w:t>
            </w:r>
            <w:r w:rsidR="00AD269F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7B758361" w14:textId="462F2754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AD269F">
              <w:rPr>
                <w:rFonts w:ascii="Garamond" w:hAnsi="Garamond"/>
                <w:sz w:val="22"/>
                <w:szCs w:val="22"/>
                <w:u w:val="single"/>
              </w:rPr>
              <w:t xml:space="preserve">A kurzus tematikája: </w:t>
            </w:r>
          </w:p>
          <w:p w14:paraId="663E1653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1.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>A középkori filozófia historiográfiájának áttekintése. A történeti és az analitikus megközelítés.</w:t>
            </w:r>
          </w:p>
          <w:p w14:paraId="76EB522E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2.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>A görög, arab és zsidó filozófia recepciója a XII-XIII. században.</w:t>
            </w:r>
          </w:p>
          <w:p w14:paraId="3CBC9B5C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3.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 xml:space="preserve">Filozófiai és teológiai iskolák a XII. században. A középkori egyetemek. </w:t>
            </w:r>
          </w:p>
          <w:p w14:paraId="2AA0DA96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Oktatási formák, a filozófiai és teológiai irodalom m</w:t>
            </w:r>
            <w:r w:rsidR="002D7868" w:rsidRPr="00AD269F">
              <w:rPr>
                <w:rFonts w:ascii="Garamond" w:hAnsi="Garamond"/>
                <w:sz w:val="22"/>
                <w:szCs w:val="22"/>
              </w:rPr>
              <w:t>ű</w:t>
            </w:r>
            <w:r w:rsidRPr="00AD269F">
              <w:rPr>
                <w:rFonts w:ascii="Garamond" w:hAnsi="Garamond"/>
                <w:sz w:val="22"/>
                <w:szCs w:val="22"/>
              </w:rPr>
              <w:t xml:space="preserve">fajai. </w:t>
            </w:r>
          </w:p>
          <w:p w14:paraId="77EE6EE0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4.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 xml:space="preserve">A középkori filozófia és teológia módszertani és terminológiai bázisa. </w:t>
            </w:r>
          </w:p>
          <w:p w14:paraId="11208508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Jelelmélet és logika a középkorban.</w:t>
            </w:r>
          </w:p>
          <w:p w14:paraId="279C4EE9" w14:textId="12CE08BB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5.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 xml:space="preserve">Canterbury-i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Anselmus</w:t>
            </w:r>
            <w:proofErr w:type="spellEnd"/>
            <w:r w:rsidR="00BD36E5" w:rsidRPr="00AD269F">
              <w:rPr>
                <w:rFonts w:ascii="Garamond" w:hAnsi="Garamond"/>
                <w:sz w:val="22"/>
                <w:szCs w:val="22"/>
              </w:rPr>
              <w:t xml:space="preserve"> és a</w:t>
            </w:r>
            <w:r w:rsidRPr="00AD269F">
              <w:rPr>
                <w:rFonts w:ascii="Garamond" w:hAnsi="Garamond"/>
                <w:sz w:val="22"/>
                <w:szCs w:val="22"/>
              </w:rPr>
              <w:t xml:space="preserve">z ontológiai istenérv. </w:t>
            </w:r>
            <w:r w:rsidR="00BD36E5" w:rsidRPr="00AD269F">
              <w:rPr>
                <w:rFonts w:ascii="Garamond" w:hAnsi="Garamond"/>
                <w:sz w:val="22"/>
                <w:szCs w:val="22"/>
              </w:rPr>
              <w:t>Aquinói Tamás bírálata.</w:t>
            </w:r>
          </w:p>
          <w:p w14:paraId="328C13AB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6.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 xml:space="preserve">Petrus Abaelardus. Az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univerzáléprobléma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>. A jó és a rossz szemantikai elemzése.</w:t>
            </w:r>
          </w:p>
          <w:p w14:paraId="42DB447D" w14:textId="1EBB45B1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7.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>A filozófia és a teológia kapcsolata a XIII. századi gondolkodásban. Az 127</w:t>
            </w:r>
            <w:r w:rsidR="00D13EC9" w:rsidRPr="00AD269F">
              <w:rPr>
                <w:rFonts w:ascii="Garamond" w:hAnsi="Garamond"/>
                <w:sz w:val="22"/>
                <w:szCs w:val="22"/>
              </w:rPr>
              <w:t>0-es és 127</w:t>
            </w:r>
            <w:r w:rsidRPr="00AD269F">
              <w:rPr>
                <w:rFonts w:ascii="Garamond" w:hAnsi="Garamond"/>
                <w:sz w:val="22"/>
                <w:szCs w:val="22"/>
              </w:rPr>
              <w:t>7-es elítél</w:t>
            </w:r>
            <w:r w:rsidR="003E5BAA" w:rsidRPr="00AD269F">
              <w:rPr>
                <w:rFonts w:ascii="Garamond" w:hAnsi="Garamond"/>
                <w:sz w:val="22"/>
                <w:szCs w:val="22"/>
              </w:rPr>
              <w:t>ő</w:t>
            </w:r>
            <w:r w:rsidRPr="00AD269F">
              <w:rPr>
                <w:rFonts w:ascii="Garamond" w:hAnsi="Garamond"/>
                <w:sz w:val="22"/>
                <w:szCs w:val="22"/>
              </w:rPr>
              <w:t xml:space="preserve"> határozat</w:t>
            </w:r>
            <w:r w:rsidR="00D13EC9" w:rsidRPr="00AD269F">
              <w:rPr>
                <w:rFonts w:ascii="Garamond" w:hAnsi="Garamond"/>
                <w:sz w:val="22"/>
                <w:szCs w:val="22"/>
              </w:rPr>
              <w:t>ok</w:t>
            </w:r>
            <w:r w:rsidRPr="00AD269F">
              <w:rPr>
                <w:rFonts w:ascii="Garamond" w:hAnsi="Garamond"/>
                <w:sz w:val="22"/>
                <w:szCs w:val="22"/>
              </w:rPr>
              <w:t>.</w:t>
            </w:r>
          </w:p>
          <w:p w14:paraId="70DF402E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8.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>XIII. századi viták a lélek természetér</w:t>
            </w:r>
            <w:r w:rsidR="002D7868" w:rsidRPr="00AD269F">
              <w:rPr>
                <w:rFonts w:ascii="Garamond" w:hAnsi="Garamond"/>
                <w:sz w:val="22"/>
                <w:szCs w:val="22"/>
              </w:rPr>
              <w:t>ő</w:t>
            </w:r>
            <w:r w:rsidRPr="00AD269F">
              <w:rPr>
                <w:rFonts w:ascii="Garamond" w:hAnsi="Garamond"/>
                <w:sz w:val="22"/>
                <w:szCs w:val="22"/>
              </w:rPr>
              <w:t>l és a világ örökkévalóságáról.</w:t>
            </w:r>
          </w:p>
          <w:p w14:paraId="3FAE1D92" w14:textId="3808067D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9.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>Metafizika a XIII. században. Aquinói Tamás, az újító.</w:t>
            </w:r>
          </w:p>
          <w:p w14:paraId="15B1436E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10.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Duns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Scotus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metafizika-kritikája: az individualitás, a modalitás és az akaratszabadság új értelmezése.</w:t>
            </w:r>
          </w:p>
          <w:p w14:paraId="4C74A130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11.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Ockham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redukcionista metafizikája és teológiája.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Notitia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intuitiva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és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notitia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abstractiva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>, szkepticizmus és isteni mindenhatóság.</w:t>
            </w:r>
          </w:p>
          <w:p w14:paraId="31587A31" w14:textId="77777777" w:rsidR="00FF6CDC" w:rsidRPr="00AD269F" w:rsidRDefault="003A736F" w:rsidP="00934547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12.</w:t>
            </w:r>
            <w:r w:rsidRPr="00AD269F">
              <w:rPr>
                <w:rFonts w:ascii="Garamond" w:hAnsi="Garamond"/>
                <w:sz w:val="22"/>
                <w:szCs w:val="22"/>
              </w:rPr>
              <w:tab/>
              <w:t xml:space="preserve">Az angliai filozófia recepciója a kontinensen a XIV. században. Johannes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Buridanus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via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antiqua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via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D269F">
              <w:rPr>
                <w:rFonts w:ascii="Garamond" w:hAnsi="Garamond"/>
                <w:sz w:val="22"/>
                <w:szCs w:val="22"/>
              </w:rPr>
              <w:t>moderna</w:t>
            </w:r>
            <w:proofErr w:type="spellEnd"/>
            <w:r w:rsidRPr="00AD269F">
              <w:rPr>
                <w:rFonts w:ascii="Garamond" w:hAnsi="Garamond"/>
                <w:sz w:val="22"/>
                <w:szCs w:val="22"/>
              </w:rPr>
              <w:t>, nominalizmus, realizmus a kés</w:t>
            </w:r>
            <w:r w:rsidR="002D7868" w:rsidRPr="00AD269F">
              <w:rPr>
                <w:rFonts w:ascii="Garamond" w:hAnsi="Garamond"/>
                <w:sz w:val="22"/>
                <w:szCs w:val="22"/>
              </w:rPr>
              <w:t>ő</w:t>
            </w:r>
            <w:r w:rsidRPr="00AD269F">
              <w:rPr>
                <w:rFonts w:ascii="Garamond" w:hAnsi="Garamond"/>
                <w:sz w:val="22"/>
                <w:szCs w:val="22"/>
              </w:rPr>
              <w:t>-középkori egyetemeken.</w:t>
            </w:r>
            <w:bookmarkEnd w:id="1"/>
          </w:p>
        </w:tc>
      </w:tr>
    </w:tbl>
    <w:p w14:paraId="0537342E" w14:textId="77777777" w:rsidR="0055341A" w:rsidRPr="00AD269F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AD269F" w14:paraId="0C8F2054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76DE" w14:textId="09C55410" w:rsidR="003A736F" w:rsidRPr="00AD269F" w:rsidRDefault="0055341A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2" w:name="_Hlk69747144"/>
            <w:r w:rsidRPr="00AD269F">
              <w:rPr>
                <w:rFonts w:ascii="Garamond" w:hAnsi="Garamond"/>
                <w:b/>
                <w:sz w:val="22"/>
                <w:szCs w:val="22"/>
              </w:rPr>
              <w:t>Számonkérési és értékelési rendszere</w:t>
            </w:r>
            <w:r w:rsidR="00AD269F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7EB1F84A" w14:textId="77777777" w:rsidR="00FF6CDC" w:rsidRPr="00AD269F" w:rsidRDefault="003A736F" w:rsidP="00934547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AD269F">
              <w:rPr>
                <w:rFonts w:ascii="Garamond" w:hAnsi="Garamond"/>
                <w:sz w:val="22"/>
                <w:szCs w:val="22"/>
              </w:rPr>
              <w:t>Szóbeli vizsga az előadás anyaga, valamint a kötelező irodalom alapján</w:t>
            </w:r>
            <w:bookmarkEnd w:id="2"/>
          </w:p>
        </w:tc>
      </w:tr>
    </w:tbl>
    <w:p w14:paraId="69D7EA4A" w14:textId="77777777" w:rsidR="0055341A" w:rsidRPr="00AD269F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9212" w:type="dxa"/>
        <w:tblInd w:w="-38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AD269F" w14:paraId="0584BE60" w14:textId="77777777" w:rsidTr="00AD269F">
        <w:tc>
          <w:tcPr>
            <w:tcW w:w="9212" w:type="dxa"/>
          </w:tcPr>
          <w:p w14:paraId="1BB772DE" w14:textId="77777777" w:rsidR="003A736F" w:rsidRPr="00AD269F" w:rsidRDefault="003A736F" w:rsidP="00FF6CDC">
            <w:pPr>
              <w:rPr>
                <w:rFonts w:ascii="Garamond" w:hAnsi="Garamond"/>
                <w:spacing w:val="-3"/>
                <w:sz w:val="22"/>
                <w:szCs w:val="22"/>
              </w:rPr>
            </w:pPr>
          </w:p>
          <w:tbl>
            <w:tblPr>
              <w:tblW w:w="18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  <w:gridCol w:w="9212"/>
            </w:tblGrid>
            <w:tr w:rsidR="00AD269F" w:rsidRPr="00AD269F" w14:paraId="053F7816" w14:textId="6530AA6F" w:rsidTr="00AD269F">
              <w:tc>
                <w:tcPr>
                  <w:tcW w:w="9212" w:type="dxa"/>
                </w:tcPr>
                <w:p w14:paraId="1202E68B" w14:textId="762A2178" w:rsidR="00AD269F" w:rsidRPr="00AD269F" w:rsidRDefault="00AD269F" w:rsidP="003A736F">
                  <w:pPr>
                    <w:rPr>
                      <w:rFonts w:ascii="Garamond" w:hAnsi="Garamond"/>
                      <w:sz w:val="22"/>
                      <w:szCs w:val="22"/>
                      <w:u w:val="single"/>
                    </w:rPr>
                  </w:pPr>
                  <w:bookmarkStart w:id="3" w:name="_Hlk69747190"/>
                  <w:r w:rsidRPr="00AD269F">
                    <w:rPr>
                      <w:rFonts w:ascii="Garamond" w:hAnsi="Garamond"/>
                      <w:sz w:val="22"/>
                      <w:szCs w:val="22"/>
                      <w:u w:val="single"/>
                    </w:rPr>
                    <w:t>A kurzushoz tartozó kötelező irodalom:</w:t>
                  </w:r>
                </w:p>
                <w:p w14:paraId="586FAD07" w14:textId="68C55A67" w:rsidR="00AD269F" w:rsidRPr="00AD269F" w:rsidRDefault="00AD269F" w:rsidP="003A736F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Canterbury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Szent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Anzelm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Proslogion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in Canterbury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Szent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Anzelm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Filozófiai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és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teológiai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művek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I, Budapest: Osiris, 2001, ford.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Dér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Katalin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; ill. Canterbury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Szent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Anzelm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, „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Részletek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a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Proslogionból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és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vita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Gaunilóval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ford.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Horváth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Judit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”,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Világosság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1983,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december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Melléklet</w:t>
                  </w:r>
                  <w:proofErr w:type="spellEnd"/>
                </w:p>
                <w:p w14:paraId="58B4C480" w14:textId="5D88EBA7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Aquinói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Tamás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: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Summa contra Gentiles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I, 10–11. In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</w:rPr>
                    <w:t>Skolasztikus filozófiai szöveggyűjtemény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Szerkesztette: Borbély Gábor –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Dániel.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L’Harmattan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: Budapest, 2019, 104–107.</w:t>
                  </w:r>
                </w:p>
                <w:p w14:paraId="0ECAD90E" w14:textId="1C9A10F3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„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A Summa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Theologiae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2.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kérdése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Vajon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létezik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-e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Isten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?)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”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in: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Aquinói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Szent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Tamás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létezőről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és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lényegről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,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Fordította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és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kommentálta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Klima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Gyula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. Budapest: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Helikon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1990, 111–117. </w:t>
                  </w:r>
                </w:p>
                <w:p w14:paraId="6940D79A" w14:textId="6E646596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Petrus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Abaelardus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Szerencsétlenségeim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története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Budapest: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Helikon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1985, ford.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Turgonyi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Zoltán</w:t>
                  </w:r>
                  <w:proofErr w:type="spellEnd"/>
                </w:p>
                <w:p w14:paraId="3B1D7542" w14:textId="598C173D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Petrus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Abaelardus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Etika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Budapest: MTA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Filozófiai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Kutatóintézete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1989, ford.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Turgonyi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Zoltán</w:t>
                  </w:r>
                  <w:proofErr w:type="spellEnd"/>
                </w:p>
                <w:p w14:paraId="14449715" w14:textId="3CCE8333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Petrus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Abaelardus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morális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jó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és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rossz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. Ford. Borbély Gábor. In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</w:rPr>
                    <w:t>Skolasztikus filozófiai szöveggyűjtemény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Szerk: Borbély G. –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D.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L’Harmattan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: Budapest, 2019, 67–70.</w:t>
                  </w:r>
                </w:p>
                <w:p w14:paraId="446F4716" w14:textId="135B9E24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Aquinói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Tamás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: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Summa contra Gentiles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I, 1-9. In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</w:rPr>
                    <w:t>Skolasztikus filozófiai szöveggyűjtemény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Szerkesztette: Borbély Gábor –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Dániel.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L’Harmattan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: Budapest, 2019, 91–103.</w:t>
                  </w:r>
                </w:p>
                <w:p w14:paraId="435861F9" w14:textId="4AA7685D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Aquinói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Szent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Tamás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Az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értelem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egysége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ford.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Borbély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Gábor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Ikon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Kiadó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, Budapest, 1993.</w:t>
                  </w:r>
                </w:p>
                <w:p w14:paraId="6B94B70A" w14:textId="1AF1D5E5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lang w:val="en-US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Aquinói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Szent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Tamás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: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 xml:space="preserve">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>létezőről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>és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 xml:space="preserve"> 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>lényegről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. Ford.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Klima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Gyula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. In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</w:rPr>
                    <w:t>Skolasztikus filozófiai szöveggyűjtemény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Szerk: Borbély G. –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D.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L’Harmattan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: Budapest, 2019, 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71–90.</w:t>
                  </w:r>
                </w:p>
                <w:p w14:paraId="618E7C79" w14:textId="3CEAE8CD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  <w:u w:val="single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Aquinói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Tamás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: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világ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w:t>örökkévalósága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In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Skolasztikus filozófiai szöveggyűjtemény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Szerkesztette: Borbély Gábor –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Dániel.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L’Harmattan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: Budapest, 2019, 197–204.</w:t>
                  </w:r>
                </w:p>
                <w:p w14:paraId="5AC1A0EB" w14:textId="62D5BE1A" w:rsidR="00AD269F" w:rsidRPr="00AD269F" w:rsidRDefault="00AD269F" w:rsidP="008200B2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William of Ockham: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 xml:space="preserve">Summa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  <w:lang w:val="en-US"/>
                    </w:rPr>
                    <w:t>logicae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 xml:space="preserve">, I, 1. In </w:t>
                  </w:r>
                  <w:r w:rsidRPr="00AD269F">
                    <w:rPr>
                      <w:rFonts w:ascii="Garamond" w:hAnsi="Garamond"/>
                      <w:i/>
                      <w:sz w:val="22"/>
                      <w:szCs w:val="22"/>
                    </w:rPr>
                    <w:t>Skolasztikus filozófiai szöveggyűjtemény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Szerkesztette: Borbély Gábor –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Dániel.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L’Harmattan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: Budapest, 2019, 247–248.</w:t>
                  </w:r>
                </w:p>
                <w:p w14:paraId="0EEF1684" w14:textId="616B0CC5" w:rsidR="00AD269F" w:rsidRPr="00AD269F" w:rsidRDefault="00AD269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"Az 1270. december 10-én Párizsban elítélt tételek" In Aquinói Szent Tamás: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Az értelem egysége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, ford. Borbély Gábor, Ikon Kiadó, Budapest, 1993, 31.</w:t>
                  </w:r>
                  <w:bookmarkEnd w:id="3"/>
                </w:p>
              </w:tc>
              <w:tc>
                <w:tcPr>
                  <w:tcW w:w="9212" w:type="dxa"/>
                </w:tcPr>
                <w:p w14:paraId="17074044" w14:textId="77777777" w:rsidR="00AD269F" w:rsidRPr="00AD269F" w:rsidRDefault="00AD269F" w:rsidP="003A736F">
                  <w:pPr>
                    <w:rPr>
                      <w:rFonts w:ascii="Garamond" w:hAnsi="Garamond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6EEE84F5" w14:textId="77777777" w:rsidR="003A736F" w:rsidRPr="00AD269F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3A736F" w:rsidRPr="00AD269F" w14:paraId="095BD3E5" w14:textId="77777777" w:rsidTr="003E2DF2">
              <w:tc>
                <w:tcPr>
                  <w:tcW w:w="9212" w:type="dxa"/>
                </w:tcPr>
                <w:p w14:paraId="0994E72D" w14:textId="020DAB23" w:rsidR="003A736F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  <w:u w:val="single"/>
                    </w:rPr>
                  </w:pPr>
                  <w:bookmarkStart w:id="4" w:name="_Hlk69747208"/>
                  <w:r w:rsidRPr="00AD269F">
                    <w:rPr>
                      <w:rFonts w:ascii="Garamond" w:hAnsi="Garamond"/>
                      <w:sz w:val="22"/>
                      <w:szCs w:val="22"/>
                      <w:u w:val="single"/>
                    </w:rPr>
                    <w:t xml:space="preserve">Ajánlott irodalom: </w:t>
                  </w:r>
                </w:p>
                <w:p w14:paraId="2425DD6B" w14:textId="6A921A73" w:rsidR="003A736F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Borbély Gábor</w:t>
                  </w:r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Civakodó angyalok. Bevezetés a középkori filozófiába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Budapest: Akadémiai, 2008. </w:t>
                  </w:r>
                </w:p>
                <w:p w14:paraId="7324C42E" w14:textId="14ED3189" w:rsidR="003A736F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De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Rijk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, L. M.</w:t>
                  </w:r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La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philosophie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au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Moyen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Age</w:t>
                  </w:r>
                  <w:proofErr w:type="spellEnd"/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. 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Leiden, E. J. Brill, 1985.</w:t>
                  </w:r>
                </w:p>
                <w:p w14:paraId="2C104F23" w14:textId="1EA401FE" w:rsidR="003A736F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Flasch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, K.</w:t>
                  </w:r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Das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philosophische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Denken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im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Mittelalter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von Augustin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zu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Macchiavelli</w:t>
                  </w:r>
                  <w:proofErr w:type="spellEnd"/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Stuttgart,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Reclam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, 1986.</w:t>
                  </w:r>
                </w:p>
                <w:p w14:paraId="2FE52C1E" w14:textId="4646A13A" w:rsidR="003A736F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Klima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Gyula</w:t>
                  </w:r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"Szent Anzelm és az ontológiai istenérv"</w:t>
                  </w:r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I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n: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Világosság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, 1983. 12. szám, melléklet. </w:t>
                  </w:r>
                </w:p>
                <w:p w14:paraId="24508411" w14:textId="355984C1" w:rsidR="003A736F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Klima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Gyula, "Az öt út," in: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Világosság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1981. 12. szám, melléklet</w:t>
                  </w:r>
                </w:p>
                <w:p w14:paraId="2641E1FC" w14:textId="7236A4B4" w:rsidR="00934547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Kretzmann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, N., Kenny, A.,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Pinborg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, J.</w:t>
                  </w:r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The Cambridge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History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Later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Medieval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Philosophy</w:t>
                  </w:r>
                  <w:proofErr w:type="spellEnd"/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Cambridge, </w:t>
                  </w:r>
                  <w:proofErr w:type="spellStart"/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Cambruidge</w:t>
                  </w:r>
                  <w:proofErr w:type="spellEnd"/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University Press, 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1982.</w:t>
                  </w:r>
                </w:p>
                <w:p w14:paraId="48874B2D" w14:textId="6ECA43A7" w:rsidR="003A736F" w:rsidRPr="00AD269F" w:rsidRDefault="003A736F" w:rsidP="003A736F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Marenbon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, J.</w:t>
                  </w:r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Medieval</w:t>
                  </w:r>
                  <w:proofErr w:type="spellEnd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269F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Philosophy</w:t>
                  </w:r>
                  <w:proofErr w:type="spellEnd"/>
                  <w:r w:rsidR="008200B2" w:rsidRPr="00AD269F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 xml:space="preserve"> London: </w:t>
                  </w:r>
                  <w:proofErr w:type="spellStart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Routledge</w:t>
                  </w:r>
                  <w:proofErr w:type="spellEnd"/>
                  <w:r w:rsidRPr="00AD269F">
                    <w:rPr>
                      <w:rFonts w:ascii="Garamond" w:hAnsi="Garamond"/>
                      <w:sz w:val="22"/>
                      <w:szCs w:val="22"/>
                    </w:rPr>
                    <w:t>, 2007</w:t>
                  </w:r>
                  <w:r w:rsidR="00AD269F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bookmarkEnd w:id="4"/>
                </w:p>
              </w:tc>
            </w:tr>
          </w:tbl>
          <w:p w14:paraId="22DCA3CD" w14:textId="77777777" w:rsidR="003A736F" w:rsidRPr="00AD269F" w:rsidRDefault="003A736F" w:rsidP="00FF6CDC">
            <w:pPr>
              <w:rPr>
                <w:rFonts w:ascii="Garamond" w:hAnsi="Garamond"/>
                <w:spacing w:val="-3"/>
                <w:sz w:val="22"/>
                <w:szCs w:val="22"/>
              </w:rPr>
            </w:pPr>
          </w:p>
        </w:tc>
      </w:tr>
    </w:tbl>
    <w:p w14:paraId="5088269D" w14:textId="77777777" w:rsidR="00B67663" w:rsidRPr="00AD269F" w:rsidRDefault="00B67663" w:rsidP="00934547">
      <w:pPr>
        <w:rPr>
          <w:rFonts w:ascii="Garamond" w:hAnsi="Garamond"/>
          <w:color w:val="0000FF"/>
          <w:sz w:val="22"/>
          <w:szCs w:val="22"/>
        </w:rPr>
      </w:pPr>
    </w:p>
    <w:sectPr w:rsidR="00B67663" w:rsidRPr="00AD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66D69"/>
    <w:rsid w:val="00143067"/>
    <w:rsid w:val="001C3BA9"/>
    <w:rsid w:val="00205778"/>
    <w:rsid w:val="00207167"/>
    <w:rsid w:val="00221382"/>
    <w:rsid w:val="00226E48"/>
    <w:rsid w:val="00273CCB"/>
    <w:rsid w:val="002D7868"/>
    <w:rsid w:val="00361AD6"/>
    <w:rsid w:val="00397EE7"/>
    <w:rsid w:val="003A736F"/>
    <w:rsid w:val="003E5BAA"/>
    <w:rsid w:val="003F2971"/>
    <w:rsid w:val="004B33AB"/>
    <w:rsid w:val="0055341A"/>
    <w:rsid w:val="0056220D"/>
    <w:rsid w:val="005F575A"/>
    <w:rsid w:val="00622D9A"/>
    <w:rsid w:val="00685D8E"/>
    <w:rsid w:val="006E2BE1"/>
    <w:rsid w:val="006E3DA0"/>
    <w:rsid w:val="00700C0D"/>
    <w:rsid w:val="00737B5D"/>
    <w:rsid w:val="00787E1C"/>
    <w:rsid w:val="00797C7B"/>
    <w:rsid w:val="007C12C5"/>
    <w:rsid w:val="007C6D9B"/>
    <w:rsid w:val="0080597E"/>
    <w:rsid w:val="008200B2"/>
    <w:rsid w:val="008253DB"/>
    <w:rsid w:val="00934547"/>
    <w:rsid w:val="009A535D"/>
    <w:rsid w:val="00A372F7"/>
    <w:rsid w:val="00A55BA0"/>
    <w:rsid w:val="00A64157"/>
    <w:rsid w:val="00AD1DF5"/>
    <w:rsid w:val="00AD269F"/>
    <w:rsid w:val="00B21AB4"/>
    <w:rsid w:val="00B63E0A"/>
    <w:rsid w:val="00B67663"/>
    <w:rsid w:val="00B75E9B"/>
    <w:rsid w:val="00BB7797"/>
    <w:rsid w:val="00BC532B"/>
    <w:rsid w:val="00BD36E5"/>
    <w:rsid w:val="00CB6E84"/>
    <w:rsid w:val="00D05FF3"/>
    <w:rsid w:val="00D13EC9"/>
    <w:rsid w:val="00D439CA"/>
    <w:rsid w:val="00DE2863"/>
    <w:rsid w:val="00E56511"/>
    <w:rsid w:val="00E6609E"/>
    <w:rsid w:val="00E87C60"/>
    <w:rsid w:val="00EC7091"/>
    <w:rsid w:val="00F2521B"/>
    <w:rsid w:val="00FA58F7"/>
    <w:rsid w:val="00FB0C39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EC8E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Felhasználó</cp:lastModifiedBy>
  <cp:revision>2</cp:revision>
  <cp:lastPrinted>2016-09-16T10:25:00Z</cp:lastPrinted>
  <dcterms:created xsi:type="dcterms:W3CDTF">2021-09-09T10:06:00Z</dcterms:created>
  <dcterms:modified xsi:type="dcterms:W3CDTF">2021-09-09T10:06:00Z</dcterms:modified>
</cp:coreProperties>
</file>