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92A1" w14:textId="77777777" w:rsidR="00D13E4D" w:rsidRDefault="00D13E4D">
      <w:pPr>
        <w:pStyle w:val="Nincstrkz"/>
        <w:jc w:val="center"/>
        <w:rPr>
          <w:rFonts w:ascii="Garamond" w:hAnsi="Garamond"/>
          <w:b/>
        </w:rPr>
      </w:pPr>
    </w:p>
    <w:p w14:paraId="736E0AFE" w14:textId="77777777" w:rsidR="00D13E4D" w:rsidRDefault="00D13E4D">
      <w:pPr>
        <w:pStyle w:val="Nincstrkz"/>
        <w:jc w:val="center"/>
        <w:rPr>
          <w:rFonts w:ascii="Garamond" w:hAnsi="Garamond"/>
          <w:b/>
        </w:rPr>
      </w:pPr>
    </w:p>
    <w:p w14:paraId="5FA8B0AD" w14:textId="77777777" w:rsidR="00D13E4D" w:rsidRDefault="00EA06C9">
      <w:pPr>
        <w:pStyle w:val="Nincstrkz"/>
        <w:jc w:val="center"/>
        <w:rPr>
          <w:rFonts w:ascii="Garamond" w:hAnsi="Garamond"/>
          <w:b/>
        </w:rPr>
      </w:pPr>
      <w:r>
        <w:rPr>
          <w:rFonts w:ascii="Garamond" w:hAnsi="Garamond"/>
          <w:b/>
        </w:rPr>
        <w:t>COURSE DESCRIPTIONS</w:t>
      </w:r>
    </w:p>
    <w:p w14:paraId="317BB329" w14:textId="77777777" w:rsidR="00D13E4D" w:rsidRDefault="00D13E4D">
      <w:pPr>
        <w:spacing w:after="0" w:line="240" w:lineRule="auto"/>
        <w:rPr>
          <w:rFonts w:ascii="Garamond" w:eastAsia="Times New Roman" w:hAnsi="Garamond" w:cs="Garamond"/>
          <w:kern w:val="2"/>
          <w:lang w:eastAsia="hu-HU" w:bidi="hi-IN"/>
        </w:rPr>
      </w:pPr>
    </w:p>
    <w:tbl>
      <w:tblPr>
        <w:tblW w:w="9210" w:type="dxa"/>
        <w:tblInd w:w="-38" w:type="dxa"/>
        <w:tblLayout w:type="fixed"/>
        <w:tblCellMar>
          <w:left w:w="70" w:type="dxa"/>
          <w:right w:w="70" w:type="dxa"/>
        </w:tblCellMar>
        <w:tblLook w:val="04A0" w:firstRow="1" w:lastRow="0" w:firstColumn="1" w:lastColumn="0" w:noHBand="0" w:noVBand="1"/>
      </w:tblPr>
      <w:tblGrid>
        <w:gridCol w:w="9210"/>
      </w:tblGrid>
      <w:tr w:rsidR="00D13E4D" w14:paraId="795539A5" w14:textId="77777777">
        <w:tc>
          <w:tcPr>
            <w:tcW w:w="9210" w:type="dxa"/>
            <w:tcBorders>
              <w:top w:val="single" w:sz="4" w:space="0" w:color="000000"/>
              <w:left w:val="single" w:sz="4" w:space="0" w:color="000000"/>
              <w:bottom w:val="single" w:sz="4" w:space="0" w:color="000000"/>
              <w:right w:val="single" w:sz="4" w:space="0" w:color="000000"/>
            </w:tcBorders>
          </w:tcPr>
          <w:p w14:paraId="7194ED01" w14:textId="5C8980A7" w:rsidR="00D13E4D" w:rsidRDefault="00EA06C9">
            <w:pPr>
              <w:widowControl w:val="0"/>
              <w:spacing w:after="0"/>
              <w:rPr>
                <w:rFonts w:ascii="Garamond" w:hAnsi="Garamond" w:cs="Times New Roman"/>
                <w:lang w:val="en-GB"/>
              </w:rPr>
            </w:pPr>
            <w:r>
              <w:rPr>
                <w:rFonts w:ascii="Garamond" w:hAnsi="Garamond" w:cs="Times New Roman"/>
                <w:lang w:val="en-GB"/>
              </w:rPr>
              <w:t xml:space="preserve">Code of course: </w:t>
            </w:r>
            <w:r>
              <w:rPr>
                <w:rFonts w:ascii="Garamond" w:hAnsi="Garamond" w:cs="Times New Roman"/>
                <w:lang w:val="en-GB"/>
              </w:rPr>
              <w:t>BMA- LOTD-416.01</w:t>
            </w:r>
            <w:r>
              <w:rPr>
                <w:rFonts w:ascii="Garamond" w:hAnsi="Garamond" w:cs="Times New Roman"/>
                <w:lang w:val="en-GB"/>
              </w:rPr>
              <w:t>, BMI- LOTD-416E.01</w:t>
            </w:r>
          </w:p>
        </w:tc>
      </w:tr>
      <w:tr w:rsidR="00D13E4D" w14:paraId="4425D56F" w14:textId="77777777">
        <w:tc>
          <w:tcPr>
            <w:tcW w:w="9210" w:type="dxa"/>
            <w:tcBorders>
              <w:top w:val="single" w:sz="4" w:space="0" w:color="000000"/>
              <w:left w:val="single" w:sz="4" w:space="0" w:color="000000"/>
              <w:bottom w:val="single" w:sz="4" w:space="0" w:color="000000"/>
              <w:right w:val="single" w:sz="4" w:space="0" w:color="000000"/>
            </w:tcBorders>
          </w:tcPr>
          <w:p w14:paraId="55915990" w14:textId="77777777" w:rsidR="00D13E4D" w:rsidRDefault="00EA06C9">
            <w:pPr>
              <w:widowControl w:val="0"/>
              <w:spacing w:after="0"/>
              <w:rPr>
                <w:rFonts w:ascii="Garamond" w:hAnsi="Garamond"/>
              </w:rPr>
            </w:pPr>
            <w:r>
              <w:rPr>
                <w:rFonts w:ascii="Garamond" w:hAnsi="Garamond" w:cs="Times New Roman"/>
                <w:lang w:val="en-GB"/>
              </w:rPr>
              <w:t xml:space="preserve">Title of course: </w:t>
            </w:r>
            <w:r>
              <w:rPr>
                <w:rFonts w:ascii="Garamond" w:hAnsi="Garamond" w:cs="Times New Roman"/>
                <w:b/>
                <w:bCs/>
                <w:lang w:val="en-GB"/>
              </w:rPr>
              <w:t>Dynamic Logic and Dynamic Semantics</w:t>
            </w:r>
          </w:p>
        </w:tc>
      </w:tr>
      <w:tr w:rsidR="00D13E4D" w14:paraId="30C47ED1" w14:textId="77777777">
        <w:tc>
          <w:tcPr>
            <w:tcW w:w="9210" w:type="dxa"/>
            <w:tcBorders>
              <w:top w:val="single" w:sz="4" w:space="0" w:color="000000"/>
              <w:left w:val="single" w:sz="4" w:space="0" w:color="000000"/>
              <w:bottom w:val="single" w:sz="4" w:space="0" w:color="000000"/>
              <w:right w:val="single" w:sz="4" w:space="0" w:color="000000"/>
            </w:tcBorders>
          </w:tcPr>
          <w:p w14:paraId="7A79E148" w14:textId="77777777" w:rsidR="00D13E4D" w:rsidRDefault="00EA06C9">
            <w:pPr>
              <w:widowControl w:val="0"/>
              <w:spacing w:after="0"/>
              <w:rPr>
                <w:rFonts w:ascii="Garamond" w:hAnsi="Garamond"/>
                <w:lang w:val="en-GB"/>
              </w:rPr>
            </w:pPr>
            <w:r>
              <w:rPr>
                <w:rFonts w:ascii="Garamond" w:hAnsi="Garamond"/>
                <w:lang w:val="en-GB"/>
              </w:rPr>
              <w:t xml:space="preserve">Lecturer: </w:t>
            </w:r>
            <w:r>
              <w:rPr>
                <w:rFonts w:ascii="Garamond" w:hAnsi="Garamond"/>
                <w:b/>
                <w:bCs/>
                <w:lang w:val="en-GB"/>
              </w:rPr>
              <w:t>Márton Gömöri and Zalán Molnár</w:t>
            </w:r>
          </w:p>
        </w:tc>
      </w:tr>
      <w:tr w:rsidR="00D13E4D" w14:paraId="5C2FA2C1" w14:textId="77777777">
        <w:tc>
          <w:tcPr>
            <w:tcW w:w="9210" w:type="dxa"/>
            <w:tcBorders>
              <w:top w:val="single" w:sz="4" w:space="0" w:color="000000"/>
              <w:left w:val="single" w:sz="4" w:space="0" w:color="000000"/>
              <w:bottom w:val="single" w:sz="4" w:space="0" w:color="000000"/>
              <w:right w:val="single" w:sz="4" w:space="0" w:color="000000"/>
            </w:tcBorders>
          </w:tcPr>
          <w:p w14:paraId="7D41F4E9" w14:textId="77777777" w:rsidR="00D13E4D" w:rsidRDefault="00EA06C9">
            <w:pPr>
              <w:widowControl w:val="0"/>
              <w:spacing w:after="0"/>
              <w:rPr>
                <w:rFonts w:ascii="Garamond" w:hAnsi="Garamond"/>
                <w:b/>
                <w:lang w:val="en-GB"/>
              </w:rPr>
            </w:pPr>
            <w:r>
              <w:rPr>
                <w:rFonts w:ascii="Garamond" w:hAnsi="Garamond"/>
                <w:b/>
                <w:lang w:val="en-GB"/>
              </w:rPr>
              <w:t xml:space="preserve">General aim of the course: </w:t>
            </w:r>
          </w:p>
          <w:p w14:paraId="665D7871" w14:textId="77777777" w:rsidR="00D13E4D" w:rsidRDefault="00EA06C9">
            <w:pPr>
              <w:pStyle w:val="Te1e1e1e1ble1e1e1e1zattartalom"/>
              <w:widowControl w:val="0"/>
              <w:spacing w:after="0"/>
              <w:rPr>
                <w:rFonts w:ascii="Garamond" w:hAnsi="Garamond" w:cs="Times New Roman"/>
                <w:b/>
                <w:lang w:val="en-GB"/>
              </w:rPr>
            </w:pPr>
            <w:r>
              <w:rPr>
                <w:rFonts w:ascii="Garamond" w:hAnsi="Garamond" w:cs="Times New Roman"/>
                <w:b/>
                <w:lang w:val="en-GB"/>
              </w:rPr>
              <w:t xml:space="preserve">While the standard, static approach identifies the </w:t>
            </w:r>
            <w:r>
              <w:rPr>
                <w:rFonts w:ascii="Garamond" w:hAnsi="Garamond" w:cs="Times New Roman"/>
                <w:b/>
                <w:lang w:val="en-GB"/>
              </w:rPr>
              <w:t>meaning of a formula or a natural language sentence with its truth conditions, the dynamic approach conceives meaning as information changing potential. The course will discuss various aspects of this dynamic approach to the semantics of formal and natural</w:t>
            </w:r>
            <w:r>
              <w:rPr>
                <w:rFonts w:ascii="Garamond" w:hAnsi="Garamond" w:cs="Times New Roman"/>
                <w:b/>
                <w:lang w:val="en-GB"/>
              </w:rPr>
              <w:t xml:space="preserve"> languages.</w:t>
            </w:r>
          </w:p>
          <w:p w14:paraId="2AE2732D" w14:textId="77777777" w:rsidR="00D13E4D" w:rsidRDefault="00D13E4D">
            <w:pPr>
              <w:pStyle w:val="Te1e1e1e1ble1e1e1e1zattartalom"/>
              <w:widowControl w:val="0"/>
              <w:spacing w:after="0"/>
              <w:rPr>
                <w:rFonts w:ascii="Garamond" w:hAnsi="Garamond" w:cs="Times New Roman"/>
                <w:b/>
                <w:lang w:val="en-GB"/>
              </w:rPr>
            </w:pPr>
          </w:p>
          <w:p w14:paraId="4C693CF2" w14:textId="77777777" w:rsidR="00D13E4D" w:rsidRDefault="00EA06C9">
            <w:pPr>
              <w:pStyle w:val="Te1e1e1e1ble1e1e1e1zattartalom"/>
              <w:widowControl w:val="0"/>
              <w:spacing w:after="0"/>
              <w:rPr>
                <w:rFonts w:ascii="Garamond" w:hAnsi="Garamond" w:cs="Times New Roman"/>
                <w:b/>
                <w:lang w:val="en-GB"/>
              </w:rPr>
            </w:pPr>
            <w:r>
              <w:rPr>
                <w:rFonts w:ascii="Garamond" w:hAnsi="Garamond" w:cs="Times New Roman"/>
                <w:b/>
                <w:lang w:val="en-GB"/>
              </w:rPr>
              <w:t>Content of the course:</w:t>
            </w:r>
          </w:p>
          <w:p w14:paraId="7C53E135" w14:textId="77777777" w:rsidR="00D13E4D" w:rsidRDefault="00EA06C9">
            <w:pPr>
              <w:widowControl w:val="0"/>
              <w:numPr>
                <w:ilvl w:val="0"/>
                <w:numId w:val="1"/>
              </w:numPr>
              <w:spacing w:after="0"/>
              <w:rPr>
                <w:rFonts w:ascii="Garamond" w:hAnsi="Garamond"/>
              </w:rPr>
            </w:pPr>
            <w:proofErr w:type="spellStart"/>
            <w:r>
              <w:rPr>
                <w:rFonts w:ascii="Garamond" w:hAnsi="Garamond"/>
              </w:rPr>
              <w:t>Introduction</w:t>
            </w:r>
            <w:proofErr w:type="spellEnd"/>
            <w:r>
              <w:rPr>
                <w:rFonts w:ascii="Garamond" w:hAnsi="Garamond"/>
              </w:rPr>
              <w:t xml:space="preserve">: </w:t>
            </w:r>
            <w:proofErr w:type="spellStart"/>
            <w:r>
              <w:rPr>
                <w:rFonts w:ascii="Garamond" w:hAnsi="Garamond"/>
              </w:rPr>
              <w:t>motivations</w:t>
            </w:r>
            <w:proofErr w:type="spellEnd"/>
            <w:r>
              <w:rPr>
                <w:rFonts w:ascii="Garamond" w:hAnsi="Garamond"/>
              </w:rPr>
              <w:t xml:space="preserve"> (1 session);</w:t>
            </w:r>
          </w:p>
          <w:p w14:paraId="38F3B187" w14:textId="77777777" w:rsidR="00D13E4D" w:rsidRDefault="00EA06C9">
            <w:pPr>
              <w:widowControl w:val="0"/>
              <w:numPr>
                <w:ilvl w:val="0"/>
                <w:numId w:val="1"/>
              </w:numPr>
              <w:spacing w:after="0"/>
              <w:rPr>
                <w:rFonts w:ascii="Garamond" w:hAnsi="Garamond"/>
              </w:rPr>
            </w:pPr>
            <w:proofErr w:type="spellStart"/>
            <w:r>
              <w:rPr>
                <w:rFonts w:ascii="Garamond" w:hAnsi="Garamond"/>
              </w:rPr>
              <w:t>Dynamic</w:t>
            </w:r>
            <w:proofErr w:type="spellEnd"/>
            <w:r>
              <w:rPr>
                <w:rFonts w:ascii="Garamond" w:hAnsi="Garamond"/>
              </w:rPr>
              <w:t xml:space="preserve"> </w:t>
            </w:r>
            <w:proofErr w:type="spellStart"/>
            <w:r>
              <w:rPr>
                <w:rFonts w:ascii="Garamond" w:hAnsi="Garamond"/>
              </w:rPr>
              <w:t>propositional</w:t>
            </w:r>
            <w:proofErr w:type="spellEnd"/>
            <w:r>
              <w:rPr>
                <w:rFonts w:ascii="Garamond" w:hAnsi="Garamond"/>
              </w:rPr>
              <w:t xml:space="preserve"> </w:t>
            </w:r>
            <w:proofErr w:type="spellStart"/>
            <w:r>
              <w:rPr>
                <w:rFonts w:ascii="Garamond" w:hAnsi="Garamond"/>
              </w:rPr>
              <w:t>logic</w:t>
            </w:r>
            <w:proofErr w:type="spellEnd"/>
            <w:r>
              <w:rPr>
                <w:rFonts w:ascii="Garamond" w:hAnsi="Garamond"/>
              </w:rPr>
              <w:t xml:space="preserve"> (1 session);</w:t>
            </w:r>
          </w:p>
          <w:p w14:paraId="77EE6ADF" w14:textId="77777777" w:rsidR="00D13E4D" w:rsidRDefault="00EA06C9">
            <w:pPr>
              <w:widowControl w:val="0"/>
              <w:numPr>
                <w:ilvl w:val="0"/>
                <w:numId w:val="1"/>
              </w:numPr>
              <w:spacing w:after="0"/>
              <w:rPr>
                <w:rFonts w:ascii="Garamond" w:hAnsi="Garamond"/>
              </w:rPr>
            </w:pPr>
            <w:proofErr w:type="spellStart"/>
            <w:r>
              <w:rPr>
                <w:rFonts w:ascii="Garamond" w:hAnsi="Garamond"/>
              </w:rPr>
              <w:t>Quantificational</w:t>
            </w:r>
            <w:proofErr w:type="spellEnd"/>
            <w:r>
              <w:rPr>
                <w:rFonts w:ascii="Garamond" w:hAnsi="Garamond"/>
              </w:rPr>
              <w:t xml:space="preserve"> </w:t>
            </w:r>
            <w:proofErr w:type="spellStart"/>
            <w:r>
              <w:rPr>
                <w:rFonts w:ascii="Garamond" w:hAnsi="Garamond"/>
              </w:rPr>
              <w:t>dynamic</w:t>
            </w:r>
            <w:proofErr w:type="spellEnd"/>
            <w:r>
              <w:rPr>
                <w:rFonts w:ascii="Garamond" w:hAnsi="Garamond"/>
              </w:rPr>
              <w:t xml:space="preserve"> </w:t>
            </w:r>
            <w:proofErr w:type="spellStart"/>
            <w:r>
              <w:rPr>
                <w:rFonts w:ascii="Garamond" w:hAnsi="Garamond"/>
              </w:rPr>
              <w:t>logic</w:t>
            </w:r>
            <w:proofErr w:type="spellEnd"/>
            <w:r>
              <w:rPr>
                <w:rFonts w:ascii="Garamond" w:hAnsi="Garamond"/>
              </w:rPr>
              <w:t xml:space="preserve"> (1 session);</w:t>
            </w:r>
          </w:p>
          <w:p w14:paraId="1086DD42" w14:textId="77777777" w:rsidR="00D13E4D" w:rsidRDefault="00EA06C9">
            <w:pPr>
              <w:widowControl w:val="0"/>
              <w:numPr>
                <w:ilvl w:val="0"/>
                <w:numId w:val="1"/>
              </w:numPr>
              <w:spacing w:after="0"/>
              <w:rPr>
                <w:rFonts w:ascii="Garamond" w:hAnsi="Garamond"/>
              </w:rPr>
            </w:pPr>
            <w:proofErr w:type="spellStart"/>
            <w:r>
              <w:rPr>
                <w:rFonts w:ascii="Garamond" w:hAnsi="Garamond"/>
              </w:rPr>
              <w:t>Groenendijk</w:t>
            </w:r>
            <w:proofErr w:type="spellEnd"/>
            <w:r>
              <w:rPr>
                <w:rFonts w:ascii="Garamond" w:hAnsi="Garamond"/>
              </w:rPr>
              <w:t xml:space="preserve"> &amp; </w:t>
            </w:r>
            <w:proofErr w:type="spellStart"/>
            <w:r>
              <w:rPr>
                <w:rFonts w:ascii="Garamond" w:hAnsi="Garamond"/>
              </w:rPr>
              <w:t>Stokhof's</w:t>
            </w:r>
            <w:proofErr w:type="spellEnd"/>
            <w:r>
              <w:rPr>
                <w:rFonts w:ascii="Garamond" w:hAnsi="Garamond"/>
              </w:rPr>
              <w:t xml:space="preserve"> DPL (3 </w:t>
            </w:r>
            <w:proofErr w:type="spellStart"/>
            <w:r>
              <w:rPr>
                <w:rFonts w:ascii="Garamond" w:hAnsi="Garamond"/>
              </w:rPr>
              <w:t>sessions</w:t>
            </w:r>
            <w:proofErr w:type="spellEnd"/>
            <w:r>
              <w:rPr>
                <w:rFonts w:ascii="Garamond" w:hAnsi="Garamond"/>
              </w:rPr>
              <w:t>);</w:t>
            </w:r>
          </w:p>
          <w:p w14:paraId="20E2E45A" w14:textId="77777777" w:rsidR="00D13E4D" w:rsidRDefault="00EA06C9">
            <w:pPr>
              <w:widowControl w:val="0"/>
              <w:numPr>
                <w:ilvl w:val="0"/>
                <w:numId w:val="1"/>
              </w:numPr>
              <w:spacing w:after="0"/>
              <w:rPr>
                <w:rFonts w:ascii="Garamond" w:hAnsi="Garamond"/>
              </w:rPr>
            </w:pPr>
            <w:r>
              <w:rPr>
                <w:rFonts w:ascii="Garamond" w:hAnsi="Garamond"/>
              </w:rPr>
              <w:t xml:space="preserve">DPL </w:t>
            </w:r>
            <w:proofErr w:type="spellStart"/>
            <w:r>
              <w:rPr>
                <w:rFonts w:ascii="Garamond" w:hAnsi="Garamond"/>
              </w:rPr>
              <w:t>with</w:t>
            </w:r>
            <w:proofErr w:type="spellEnd"/>
            <w:r>
              <w:rPr>
                <w:rFonts w:ascii="Garamond" w:hAnsi="Garamond"/>
              </w:rPr>
              <w:t xml:space="preserve"> </w:t>
            </w:r>
            <w:proofErr w:type="spellStart"/>
            <w:r>
              <w:rPr>
                <w:rFonts w:ascii="Garamond" w:hAnsi="Garamond"/>
              </w:rPr>
              <w:t>intensional</w:t>
            </w:r>
            <w:proofErr w:type="spellEnd"/>
            <w:r>
              <w:rPr>
                <w:rFonts w:ascii="Garamond" w:hAnsi="Garamond"/>
              </w:rPr>
              <w:t xml:space="preserve"> </w:t>
            </w:r>
            <w:proofErr w:type="spellStart"/>
            <w:r>
              <w:rPr>
                <w:rFonts w:ascii="Garamond" w:hAnsi="Garamond"/>
              </w:rPr>
              <w:t>semantics</w:t>
            </w:r>
            <w:proofErr w:type="spellEnd"/>
            <w:r>
              <w:rPr>
                <w:rFonts w:ascii="Garamond" w:hAnsi="Garamond"/>
              </w:rPr>
              <w:t xml:space="preserve"> (2 </w:t>
            </w:r>
            <w:proofErr w:type="spellStart"/>
            <w:r>
              <w:rPr>
                <w:rFonts w:ascii="Garamond" w:hAnsi="Garamond"/>
              </w:rPr>
              <w:t>sessions</w:t>
            </w:r>
            <w:proofErr w:type="spellEnd"/>
            <w:r>
              <w:rPr>
                <w:rFonts w:ascii="Garamond" w:hAnsi="Garamond"/>
              </w:rPr>
              <w:t>);</w:t>
            </w:r>
          </w:p>
          <w:p w14:paraId="3B5F0D17" w14:textId="77777777" w:rsidR="00D13E4D" w:rsidRDefault="00EA06C9">
            <w:pPr>
              <w:widowControl w:val="0"/>
              <w:numPr>
                <w:ilvl w:val="0"/>
                <w:numId w:val="1"/>
              </w:numPr>
              <w:spacing w:after="0"/>
              <w:rPr>
                <w:rFonts w:ascii="Garamond" w:hAnsi="Garamond"/>
              </w:rPr>
            </w:pPr>
            <w:proofErr w:type="spellStart"/>
            <w:r>
              <w:rPr>
                <w:rFonts w:ascii="Garamond" w:hAnsi="Garamond"/>
              </w:rPr>
              <w:t>Veltman's</w:t>
            </w:r>
            <w:proofErr w:type="spellEnd"/>
            <w:r>
              <w:rPr>
                <w:rFonts w:ascii="Garamond" w:hAnsi="Garamond"/>
              </w:rPr>
              <w:t xml:space="preserve"> update </w:t>
            </w:r>
            <w:proofErr w:type="spellStart"/>
            <w:r>
              <w:rPr>
                <w:rFonts w:ascii="Garamond" w:hAnsi="Garamond"/>
              </w:rPr>
              <w:t>semantics</w:t>
            </w:r>
            <w:proofErr w:type="spellEnd"/>
            <w:r>
              <w:rPr>
                <w:rFonts w:ascii="Garamond" w:hAnsi="Garamond"/>
              </w:rPr>
              <w:t xml:space="preserve"> (2 </w:t>
            </w:r>
            <w:proofErr w:type="spellStart"/>
            <w:r>
              <w:rPr>
                <w:rFonts w:ascii="Garamond" w:hAnsi="Garamond"/>
              </w:rPr>
              <w:t>sessions</w:t>
            </w:r>
            <w:proofErr w:type="spellEnd"/>
            <w:r>
              <w:rPr>
                <w:rFonts w:ascii="Garamond" w:hAnsi="Garamond"/>
              </w:rPr>
              <w:t>);</w:t>
            </w:r>
          </w:p>
          <w:p w14:paraId="4885EE44" w14:textId="77777777" w:rsidR="00D13E4D" w:rsidRDefault="00EA06C9">
            <w:pPr>
              <w:widowControl w:val="0"/>
              <w:numPr>
                <w:ilvl w:val="0"/>
                <w:numId w:val="1"/>
              </w:numPr>
              <w:spacing w:after="0"/>
              <w:rPr>
                <w:rFonts w:ascii="Garamond" w:hAnsi="Garamond"/>
              </w:rPr>
            </w:pPr>
            <w:proofErr w:type="spellStart"/>
            <w:r>
              <w:rPr>
                <w:rFonts w:ascii="Garamond" w:hAnsi="Garamond"/>
              </w:rPr>
              <w:t>Philosophical</w:t>
            </w:r>
            <w:proofErr w:type="spellEnd"/>
            <w:r>
              <w:rPr>
                <w:rFonts w:ascii="Garamond" w:hAnsi="Garamond"/>
              </w:rPr>
              <w:t xml:space="preserve"> </w:t>
            </w:r>
            <w:proofErr w:type="spellStart"/>
            <w:r>
              <w:rPr>
                <w:rFonts w:ascii="Garamond" w:hAnsi="Garamond"/>
              </w:rPr>
              <w:t>perspectives</w:t>
            </w:r>
            <w:proofErr w:type="spellEnd"/>
            <w:r>
              <w:rPr>
                <w:rFonts w:ascii="Garamond" w:hAnsi="Garamond"/>
              </w:rPr>
              <w:t xml:space="preserve"> (2 </w:t>
            </w:r>
            <w:proofErr w:type="spellStart"/>
            <w:r>
              <w:rPr>
                <w:rFonts w:ascii="Garamond" w:hAnsi="Garamond"/>
              </w:rPr>
              <w:t>sessions</w:t>
            </w:r>
            <w:proofErr w:type="spellEnd"/>
            <w:r>
              <w:rPr>
                <w:rFonts w:ascii="Garamond" w:hAnsi="Garamond"/>
              </w:rPr>
              <w:t>).</w:t>
            </w:r>
          </w:p>
          <w:p w14:paraId="55128869" w14:textId="77777777" w:rsidR="00D13E4D" w:rsidRDefault="00EA06C9">
            <w:pPr>
              <w:widowControl w:val="0"/>
              <w:tabs>
                <w:tab w:val="left" w:pos="358"/>
              </w:tabs>
              <w:spacing w:after="0"/>
              <w:rPr>
                <w:rFonts w:ascii="Garamond" w:hAnsi="Garamond"/>
              </w:rPr>
            </w:pPr>
            <w:r>
              <w:rPr>
                <w:rFonts w:ascii="Garamond" w:hAnsi="Garamond"/>
              </w:rPr>
              <w:t xml:space="preserve">The </w:t>
            </w:r>
            <w:proofErr w:type="spellStart"/>
            <w:r>
              <w:rPr>
                <w:rFonts w:ascii="Garamond" w:hAnsi="Garamond"/>
              </w:rPr>
              <w:t>topics</w:t>
            </w:r>
            <w:proofErr w:type="spellEnd"/>
            <w:r>
              <w:rPr>
                <w:rFonts w:ascii="Garamond" w:hAnsi="Garamond"/>
              </w:rPr>
              <w:t xml:space="preserve"> </w:t>
            </w:r>
            <w:proofErr w:type="spellStart"/>
            <w:r>
              <w:rPr>
                <w:rFonts w:ascii="Garamond" w:hAnsi="Garamond"/>
              </w:rPr>
              <w:t>may</w:t>
            </w:r>
            <w:proofErr w:type="spellEnd"/>
            <w:r>
              <w:rPr>
                <w:rFonts w:ascii="Garamond" w:hAnsi="Garamond"/>
              </w:rPr>
              <w:t xml:space="preserve"> </w:t>
            </w:r>
            <w:proofErr w:type="spellStart"/>
            <w:r>
              <w:rPr>
                <w:rFonts w:ascii="Garamond" w:hAnsi="Garamond"/>
              </w:rPr>
              <w:t>change</w:t>
            </w:r>
            <w:proofErr w:type="spellEnd"/>
            <w:r>
              <w:rPr>
                <w:rFonts w:ascii="Garamond" w:hAnsi="Garamond"/>
              </w:rPr>
              <w:t xml:space="preserve"> </w:t>
            </w:r>
            <w:proofErr w:type="spellStart"/>
            <w:r>
              <w:rPr>
                <w:rFonts w:ascii="Garamond" w:hAnsi="Garamond"/>
              </w:rPr>
              <w:t>during</w:t>
            </w:r>
            <w:proofErr w:type="spellEnd"/>
            <w:r>
              <w:rPr>
                <w:rFonts w:ascii="Garamond" w:hAnsi="Garamond"/>
              </w:rPr>
              <w:t xml:space="preserve"> </w:t>
            </w:r>
            <w:proofErr w:type="spellStart"/>
            <w:r>
              <w:rPr>
                <w:rFonts w:ascii="Garamond" w:hAnsi="Garamond"/>
              </w:rPr>
              <w:t>the</w:t>
            </w:r>
            <w:proofErr w:type="spellEnd"/>
            <w:r>
              <w:rPr>
                <w:rFonts w:ascii="Garamond" w:hAnsi="Garamond"/>
              </w:rPr>
              <w:t xml:space="preserve"> </w:t>
            </w:r>
            <w:proofErr w:type="spellStart"/>
            <w:r>
              <w:rPr>
                <w:rFonts w:ascii="Garamond" w:hAnsi="Garamond"/>
              </w:rPr>
              <w:t>course</w:t>
            </w:r>
            <w:proofErr w:type="spellEnd"/>
            <w:r>
              <w:rPr>
                <w:rFonts w:ascii="Garamond" w:hAnsi="Garamond"/>
              </w:rPr>
              <w:t xml:space="preserve">, in </w:t>
            </w:r>
            <w:proofErr w:type="spellStart"/>
            <w:r>
              <w:rPr>
                <w:rFonts w:ascii="Garamond" w:hAnsi="Garamond"/>
              </w:rPr>
              <w:t>accordance</w:t>
            </w:r>
            <w:proofErr w:type="spellEnd"/>
            <w:r>
              <w:rPr>
                <w:rFonts w:ascii="Garamond" w:hAnsi="Garamond"/>
              </w:rPr>
              <w:t xml:space="preserve"> </w:t>
            </w:r>
            <w:proofErr w:type="spellStart"/>
            <w:r>
              <w:rPr>
                <w:rFonts w:ascii="Garamond" w:hAnsi="Garamond"/>
              </w:rPr>
              <w:t>with</w:t>
            </w:r>
            <w:proofErr w:type="spellEnd"/>
            <w:r>
              <w:rPr>
                <w:rFonts w:ascii="Garamond" w:hAnsi="Garamond"/>
              </w:rPr>
              <w:t xml:space="preserve"> </w:t>
            </w:r>
            <w:proofErr w:type="spellStart"/>
            <w:r>
              <w:rPr>
                <w:rFonts w:ascii="Garamond" w:hAnsi="Garamond"/>
              </w:rPr>
              <w:t>student</w:t>
            </w:r>
            <w:proofErr w:type="spellEnd"/>
            <w:r>
              <w:rPr>
                <w:rFonts w:ascii="Garamond" w:hAnsi="Garamond"/>
              </w:rPr>
              <w:t xml:space="preserve"> </w:t>
            </w:r>
            <w:proofErr w:type="spellStart"/>
            <w:r>
              <w:rPr>
                <w:rFonts w:ascii="Garamond" w:hAnsi="Garamond"/>
              </w:rPr>
              <w:t>demand</w:t>
            </w:r>
            <w:proofErr w:type="spellEnd"/>
            <w:r>
              <w:rPr>
                <w:rFonts w:ascii="Garamond" w:hAnsi="Garamond"/>
              </w:rPr>
              <w:t>.</w:t>
            </w:r>
          </w:p>
          <w:p w14:paraId="4307F897" w14:textId="77777777" w:rsidR="00D13E4D" w:rsidRDefault="00D13E4D">
            <w:pPr>
              <w:pStyle w:val="Te1e1e1e1ble1e1e1e1zattartalom"/>
              <w:widowControl w:val="0"/>
              <w:spacing w:after="0"/>
              <w:ind w:left="720"/>
              <w:rPr>
                <w:rFonts w:ascii="Garamond" w:hAnsi="Garamond" w:cs="Times New Roman"/>
                <w:b/>
                <w:lang w:val="en-GB"/>
              </w:rPr>
            </w:pPr>
          </w:p>
          <w:p w14:paraId="23D88788" w14:textId="77777777" w:rsidR="00D13E4D" w:rsidRDefault="00EA06C9">
            <w:pPr>
              <w:pStyle w:val="Te1e1e1e1ble1e1e1e1zattartalom"/>
              <w:widowControl w:val="0"/>
              <w:spacing w:after="0"/>
              <w:rPr>
                <w:rFonts w:ascii="Garamond" w:hAnsi="Garamond"/>
                <w:b/>
                <w:lang w:val="en-GB"/>
              </w:rPr>
            </w:pPr>
            <w:r>
              <w:rPr>
                <w:rFonts w:ascii="Garamond" w:hAnsi="Garamond"/>
                <w:b/>
                <w:lang w:val="en-GB"/>
              </w:rPr>
              <w:t xml:space="preserve">Grading criteria: </w:t>
            </w:r>
          </w:p>
          <w:p w14:paraId="44D43B9B" w14:textId="77777777" w:rsidR="00D13E4D" w:rsidRDefault="00EA06C9">
            <w:pPr>
              <w:pStyle w:val="Body"/>
              <w:widowControl w:val="0"/>
              <w:rPr>
                <w:rFonts w:ascii="Garamond" w:hAnsi="Garamond"/>
                <w:lang w:val="en-US"/>
              </w:rPr>
            </w:pPr>
            <w:proofErr w:type="spellStart"/>
            <w:r>
              <w:rPr>
                <w:rFonts w:ascii="Garamond" w:eastAsia="Arial" w:hAnsi="Garamond"/>
                <w:sz w:val="22"/>
                <w:lang w:val="en-US"/>
              </w:rPr>
              <w:t>Homeworks</w:t>
            </w:r>
            <w:proofErr w:type="spellEnd"/>
            <w:r>
              <w:rPr>
                <w:rFonts w:ascii="Garamond" w:eastAsia="Arial" w:hAnsi="Garamond"/>
                <w:sz w:val="22"/>
                <w:lang w:val="en-US"/>
              </w:rPr>
              <w:t xml:space="preserve"> submitted during the course.</w:t>
            </w:r>
          </w:p>
          <w:p w14:paraId="1CFF82ED" w14:textId="77777777" w:rsidR="00D13E4D" w:rsidRDefault="00D13E4D">
            <w:pPr>
              <w:pStyle w:val="Body"/>
              <w:widowControl w:val="0"/>
              <w:rPr>
                <w:rFonts w:ascii="Garamond" w:hAnsi="Garamond"/>
                <w:lang w:val="en-US"/>
              </w:rPr>
            </w:pPr>
          </w:p>
          <w:p w14:paraId="114E7ADE" w14:textId="77777777" w:rsidR="00D13E4D" w:rsidRDefault="00EA06C9">
            <w:pPr>
              <w:pStyle w:val="Te1e1e1e1ble1e1e1e1zattartalom"/>
              <w:widowControl w:val="0"/>
              <w:spacing w:after="0"/>
              <w:rPr>
                <w:rFonts w:ascii="Garamond" w:hAnsi="Garamond"/>
                <w:b/>
                <w:lang w:val="en-GB"/>
              </w:rPr>
            </w:pPr>
            <w:r>
              <w:rPr>
                <w:rFonts w:ascii="Garamond" w:eastAsia="Arial" w:hAnsi="Garamond"/>
                <w:lang w:val="en-US"/>
              </w:rPr>
              <w:t>Prerequisites:</w:t>
            </w:r>
            <w:r>
              <w:rPr>
                <w:rFonts w:ascii="Garamond" w:eastAsia="Arial" w:hAnsi="Garamond"/>
                <w:lang w:val="en-US"/>
              </w:rPr>
              <w:t xml:space="preserve"> </w:t>
            </w:r>
          </w:p>
          <w:p w14:paraId="0ACC560B" w14:textId="77777777" w:rsidR="00D13E4D" w:rsidRDefault="00EA06C9">
            <w:pPr>
              <w:pStyle w:val="Te1e1e1e1ble1e1e1e1zattartalom"/>
              <w:widowControl w:val="0"/>
              <w:spacing w:after="0"/>
              <w:rPr>
                <w:rFonts w:ascii="Garamond" w:hAnsi="Garamond"/>
                <w:b/>
                <w:lang w:val="en-GB"/>
              </w:rPr>
            </w:pPr>
            <w:r>
              <w:rPr>
                <w:rFonts w:ascii="Garamond" w:eastAsia="Arial" w:hAnsi="Garamond"/>
                <w:b/>
                <w:lang w:val="en-GB"/>
              </w:rPr>
              <w:t>The course assumes som</w:t>
            </w:r>
            <w:r>
              <w:rPr>
                <w:rFonts w:ascii="Garamond" w:eastAsia="Arial" w:hAnsi="Garamond"/>
                <w:b/>
                <w:lang w:val="en-GB"/>
              </w:rPr>
              <w:t>e familiarity with the basic concepts and methods of modern formal logic; most importantly, the basics of translating ordinary propositions into formulas with predicates, constants, variables, propositional connectives, and quantifiers.</w:t>
            </w:r>
          </w:p>
          <w:p w14:paraId="5C0D8ABC" w14:textId="77777777" w:rsidR="00D13E4D" w:rsidRDefault="00D13E4D">
            <w:pPr>
              <w:widowControl w:val="0"/>
              <w:spacing w:after="0"/>
              <w:rPr>
                <w:rFonts w:ascii="Garamond" w:hAnsi="Garamond"/>
                <w:b/>
                <w:lang w:val="en-GB"/>
              </w:rPr>
            </w:pPr>
          </w:p>
          <w:p w14:paraId="0E90249E" w14:textId="77777777" w:rsidR="00D13E4D" w:rsidRDefault="00EA06C9">
            <w:pPr>
              <w:widowControl w:val="0"/>
              <w:spacing w:after="0"/>
              <w:rPr>
                <w:rFonts w:ascii="Garamond" w:hAnsi="Garamond"/>
                <w:b/>
                <w:lang w:val="en-GB"/>
              </w:rPr>
            </w:pPr>
            <w:r>
              <w:rPr>
                <w:rFonts w:ascii="Garamond" w:hAnsi="Garamond"/>
                <w:b/>
                <w:lang w:val="en-GB"/>
              </w:rPr>
              <w:t>R</w:t>
            </w:r>
            <w:r>
              <w:rPr>
                <w:rFonts w:ascii="Garamond" w:hAnsi="Garamond"/>
                <w:b/>
                <w:lang w:val="en-GB"/>
              </w:rPr>
              <w:t xml:space="preserve">eadings: </w:t>
            </w:r>
          </w:p>
          <w:p w14:paraId="4AD97E77" w14:textId="77777777" w:rsidR="00D13E4D" w:rsidRDefault="00EA06C9">
            <w:pPr>
              <w:widowControl w:val="0"/>
              <w:spacing w:after="0"/>
              <w:rPr>
                <w:rFonts w:ascii="Garamond" w:hAnsi="Garamond"/>
                <w:b/>
                <w:lang w:val="en-GB"/>
              </w:rPr>
            </w:pPr>
            <w:proofErr w:type="spellStart"/>
            <w:r>
              <w:rPr>
                <w:rStyle w:val="StrongEmphasis"/>
                <w:rFonts w:ascii="Garamond" w:hAnsi="Garamond"/>
                <w:lang w:val="en-GB"/>
              </w:rPr>
              <w:t>Harel</w:t>
            </w:r>
            <w:proofErr w:type="spellEnd"/>
            <w:r>
              <w:rPr>
                <w:rStyle w:val="StrongEmphasis"/>
                <w:rFonts w:ascii="Garamond" w:hAnsi="Garamond"/>
                <w:lang w:val="en-GB"/>
              </w:rPr>
              <w:t xml:space="preserve"> &amp;</w:t>
            </w:r>
            <w:r>
              <w:rPr>
                <w:rStyle w:val="StrongEmphasis"/>
                <w:rFonts w:ascii="Garamond" w:hAnsi="Garamond"/>
                <w:lang w:val="en-GB"/>
              </w:rPr>
              <w:t xml:space="preserve"> al, "Dynamic logic". In </w:t>
            </w:r>
            <w:proofErr w:type="spellStart"/>
            <w:r>
              <w:rPr>
                <w:rStyle w:val="StrongEmphasis"/>
                <w:rFonts w:ascii="Garamond" w:hAnsi="Garamond"/>
                <w:lang w:val="en-GB"/>
              </w:rPr>
              <w:t>Gabbay</w:t>
            </w:r>
            <w:proofErr w:type="spellEnd"/>
            <w:r>
              <w:rPr>
                <w:rStyle w:val="StrongEmphasis"/>
                <w:rFonts w:ascii="Garamond" w:hAnsi="Garamond"/>
                <w:lang w:val="en-GB"/>
              </w:rPr>
              <w:t xml:space="preserve"> &amp; al. (ed.), Handbook of Philosophical Logic. Vol 4. 99--218.</w:t>
            </w:r>
            <w:r>
              <w:rPr>
                <w:rStyle w:val="StrongEmphasis"/>
                <w:rFonts w:ascii="Garamond" w:hAnsi="Garamond"/>
                <w:lang w:val="en-GB"/>
              </w:rPr>
              <w:br/>
            </w:r>
            <w:proofErr w:type="spellStart"/>
            <w:r>
              <w:rPr>
                <w:rStyle w:val="StrongEmphasis"/>
                <w:rFonts w:ascii="Garamond" w:hAnsi="Garamond"/>
                <w:lang w:val="en-GB"/>
              </w:rPr>
              <w:t>Muskens</w:t>
            </w:r>
            <w:proofErr w:type="spellEnd"/>
            <w:r>
              <w:rPr>
                <w:rStyle w:val="StrongEmphasis"/>
                <w:rFonts w:ascii="Garamond" w:hAnsi="Garamond"/>
                <w:lang w:val="en-GB"/>
              </w:rPr>
              <w:t xml:space="preserve"> &amp; al., "Dynamics". In Van </w:t>
            </w:r>
            <w:proofErr w:type="spellStart"/>
            <w:r>
              <w:rPr>
                <w:rStyle w:val="StrongEmphasis"/>
                <w:rFonts w:ascii="Garamond" w:hAnsi="Garamond"/>
                <w:lang w:val="en-GB"/>
              </w:rPr>
              <w:t>Benthem</w:t>
            </w:r>
            <w:proofErr w:type="spellEnd"/>
            <w:r>
              <w:rPr>
                <w:rStyle w:val="StrongEmphasis"/>
                <w:rFonts w:ascii="Garamond" w:hAnsi="Garamond"/>
                <w:lang w:val="en-GB"/>
              </w:rPr>
              <w:t xml:space="preserve"> &amp; al., ed., Handbook of Logic and Language. 587--648.</w:t>
            </w:r>
            <w:r>
              <w:rPr>
                <w:rStyle w:val="StrongEmphasis"/>
                <w:rFonts w:ascii="Garamond" w:hAnsi="Garamond"/>
                <w:lang w:val="en-GB"/>
              </w:rPr>
              <w:br/>
              <w:t>Dekker, Dynamic Semantics. Springer, 2012.</w:t>
            </w:r>
            <w:r>
              <w:rPr>
                <w:rStyle w:val="StrongEmphasis"/>
                <w:rFonts w:ascii="Garamond" w:hAnsi="Garamond"/>
                <w:lang w:val="en-GB"/>
              </w:rPr>
              <w:br/>
            </w:r>
            <w:proofErr w:type="spellStart"/>
            <w:r>
              <w:rPr>
                <w:rStyle w:val="StrongEmphasis"/>
                <w:rFonts w:ascii="Garamond" w:hAnsi="Garamond"/>
                <w:lang w:val="en-GB"/>
              </w:rPr>
              <w:t>Groenendijk</w:t>
            </w:r>
            <w:proofErr w:type="spellEnd"/>
            <w:r>
              <w:rPr>
                <w:rStyle w:val="StrongEmphasis"/>
                <w:rFonts w:ascii="Garamond" w:hAnsi="Garamond"/>
                <w:lang w:val="en-GB"/>
              </w:rPr>
              <w:t xml:space="preserve"> &amp; </w:t>
            </w:r>
            <w:proofErr w:type="spellStart"/>
            <w:r>
              <w:rPr>
                <w:rStyle w:val="StrongEmphasis"/>
                <w:rFonts w:ascii="Garamond" w:hAnsi="Garamond"/>
                <w:lang w:val="en-GB"/>
              </w:rPr>
              <w:t>Stokhof</w:t>
            </w:r>
            <w:proofErr w:type="spellEnd"/>
            <w:r>
              <w:rPr>
                <w:rStyle w:val="StrongEmphasis"/>
                <w:rFonts w:ascii="Garamond" w:hAnsi="Garamond"/>
                <w:lang w:val="en-GB"/>
              </w:rPr>
              <w:t xml:space="preserve">, </w:t>
            </w:r>
            <w:r>
              <w:rPr>
                <w:rStyle w:val="StrongEmphasis"/>
                <w:rFonts w:ascii="Garamond" w:hAnsi="Garamond"/>
                <w:lang w:val="en-GB"/>
              </w:rPr>
              <w:t>"Dynamic predicate logic". Linguistics &amp; Philosophy 14 (1991)</w:t>
            </w:r>
            <w:r>
              <w:rPr>
                <w:rStyle w:val="StrongEmphasis"/>
                <w:rFonts w:ascii="Garamond" w:hAnsi="Garamond"/>
                <w:lang w:val="en-GB"/>
              </w:rPr>
              <w:br/>
            </w:r>
            <w:proofErr w:type="spellStart"/>
            <w:r>
              <w:rPr>
                <w:rStyle w:val="StrongEmphasis"/>
                <w:rFonts w:ascii="Garamond" w:hAnsi="Garamond"/>
                <w:lang w:val="en-GB"/>
              </w:rPr>
              <w:t>Groenendijk</w:t>
            </w:r>
            <w:proofErr w:type="spellEnd"/>
            <w:r>
              <w:rPr>
                <w:rStyle w:val="StrongEmphasis"/>
                <w:rFonts w:ascii="Garamond" w:hAnsi="Garamond"/>
                <w:lang w:val="en-GB"/>
              </w:rPr>
              <w:t xml:space="preserve"> &amp; </w:t>
            </w:r>
            <w:proofErr w:type="spellStart"/>
            <w:r>
              <w:rPr>
                <w:rStyle w:val="StrongEmphasis"/>
                <w:rFonts w:ascii="Garamond" w:hAnsi="Garamond"/>
                <w:lang w:val="en-GB"/>
              </w:rPr>
              <w:t>Stokhof</w:t>
            </w:r>
            <w:proofErr w:type="spellEnd"/>
            <w:r>
              <w:rPr>
                <w:rStyle w:val="StrongEmphasis"/>
                <w:rFonts w:ascii="Garamond" w:hAnsi="Garamond"/>
                <w:lang w:val="en-GB"/>
              </w:rPr>
              <w:t xml:space="preserve">, "Dynamic Montague Grammar". In: Kalman &amp; Polos (eds), Proceedings of the Second </w:t>
            </w:r>
            <w:proofErr w:type="spellStart"/>
            <w:r>
              <w:rPr>
                <w:rStyle w:val="StrongEmphasis"/>
                <w:rFonts w:ascii="Garamond" w:hAnsi="Garamond"/>
                <w:lang w:val="en-GB"/>
              </w:rPr>
              <w:t>Symposion</w:t>
            </w:r>
            <w:proofErr w:type="spellEnd"/>
            <w:r>
              <w:rPr>
                <w:rStyle w:val="StrongEmphasis"/>
                <w:rFonts w:ascii="Garamond" w:hAnsi="Garamond"/>
                <w:lang w:val="en-GB"/>
              </w:rPr>
              <w:t xml:space="preserve"> on Logic and Language. </w:t>
            </w:r>
            <w:proofErr w:type="spellStart"/>
            <w:r>
              <w:rPr>
                <w:rStyle w:val="StrongEmphasis"/>
                <w:rFonts w:ascii="Garamond" w:hAnsi="Garamond"/>
                <w:lang w:val="en-GB"/>
              </w:rPr>
              <w:t>Eötvös</w:t>
            </w:r>
            <w:proofErr w:type="spellEnd"/>
            <w:r>
              <w:rPr>
                <w:rStyle w:val="StrongEmphasis"/>
                <w:rFonts w:ascii="Garamond" w:hAnsi="Garamond"/>
                <w:lang w:val="en-GB"/>
              </w:rPr>
              <w:t xml:space="preserve"> </w:t>
            </w:r>
            <w:proofErr w:type="spellStart"/>
            <w:r>
              <w:rPr>
                <w:rStyle w:val="StrongEmphasis"/>
                <w:rFonts w:ascii="Garamond" w:hAnsi="Garamond"/>
                <w:lang w:val="en-GB"/>
              </w:rPr>
              <w:t>Loránd</w:t>
            </w:r>
            <w:proofErr w:type="spellEnd"/>
            <w:r>
              <w:rPr>
                <w:rStyle w:val="StrongEmphasis"/>
                <w:rFonts w:ascii="Garamond" w:hAnsi="Garamond"/>
                <w:lang w:val="en-GB"/>
              </w:rPr>
              <w:t xml:space="preserve"> University Press, 1990. 3--48.</w:t>
            </w:r>
            <w:r>
              <w:rPr>
                <w:rStyle w:val="StrongEmphasis"/>
                <w:rFonts w:ascii="Garamond" w:hAnsi="Garamond"/>
                <w:lang w:val="en-GB"/>
              </w:rPr>
              <w:br/>
            </w:r>
            <w:proofErr w:type="spellStart"/>
            <w:r>
              <w:rPr>
                <w:rStyle w:val="StrongEmphasis"/>
                <w:rFonts w:ascii="Garamond" w:hAnsi="Garamond"/>
                <w:lang w:val="en-GB"/>
              </w:rPr>
              <w:t>Groenendijk</w:t>
            </w:r>
            <w:proofErr w:type="spellEnd"/>
            <w:r>
              <w:rPr>
                <w:rStyle w:val="StrongEmphasis"/>
                <w:rFonts w:ascii="Garamond" w:hAnsi="Garamond"/>
                <w:lang w:val="en-GB"/>
              </w:rPr>
              <w:t xml:space="preserve">, </w:t>
            </w:r>
            <w:proofErr w:type="spellStart"/>
            <w:r>
              <w:rPr>
                <w:rStyle w:val="StrongEmphasis"/>
                <w:rFonts w:ascii="Garamond" w:hAnsi="Garamond"/>
                <w:lang w:val="en-GB"/>
              </w:rPr>
              <w:t>Stokhof</w:t>
            </w:r>
            <w:proofErr w:type="spellEnd"/>
            <w:r>
              <w:rPr>
                <w:rStyle w:val="StrongEmphasis"/>
                <w:rFonts w:ascii="Garamond" w:hAnsi="Garamond"/>
                <w:lang w:val="en-GB"/>
              </w:rPr>
              <w:t xml:space="preserve">, &amp; </w:t>
            </w:r>
            <w:proofErr w:type="spellStart"/>
            <w:r>
              <w:rPr>
                <w:rStyle w:val="StrongEmphasis"/>
                <w:rFonts w:ascii="Garamond" w:hAnsi="Garamond"/>
                <w:lang w:val="en-GB"/>
              </w:rPr>
              <w:t>Veltman</w:t>
            </w:r>
            <w:proofErr w:type="spellEnd"/>
            <w:r>
              <w:rPr>
                <w:rStyle w:val="StrongEmphasis"/>
                <w:rFonts w:ascii="Garamond" w:hAnsi="Garamond"/>
                <w:lang w:val="en-GB"/>
              </w:rPr>
              <w:t>, "Coreference and modality". In: Lappin (ed), Handbook of Contemporary Semantic Theory. Blackwell, 1996. 179--216.</w:t>
            </w:r>
            <w:r>
              <w:rPr>
                <w:rStyle w:val="StrongEmphasis"/>
                <w:rFonts w:ascii="Garamond" w:hAnsi="Garamond"/>
                <w:lang w:val="en-GB"/>
              </w:rPr>
              <w:br/>
            </w:r>
            <w:proofErr w:type="spellStart"/>
            <w:r>
              <w:rPr>
                <w:rStyle w:val="StrongEmphasis"/>
                <w:rFonts w:ascii="Garamond" w:hAnsi="Garamond"/>
                <w:lang w:val="en-GB"/>
              </w:rPr>
              <w:t>Veltman</w:t>
            </w:r>
            <w:proofErr w:type="spellEnd"/>
            <w:r>
              <w:rPr>
                <w:rStyle w:val="StrongEmphasis"/>
                <w:rFonts w:ascii="Garamond" w:hAnsi="Garamond"/>
                <w:lang w:val="en-GB"/>
              </w:rPr>
              <w:t>, Frank, "Defaults in update semantics". Journal of Philosophical Logic 25/3, 1996. 221--261.</w:t>
            </w:r>
            <w:r>
              <w:rPr>
                <w:rStyle w:val="StrongEmphasis"/>
                <w:rFonts w:ascii="Garamond" w:hAnsi="Garamond"/>
                <w:lang w:val="en-GB"/>
              </w:rPr>
              <w:br/>
            </w:r>
            <w:proofErr w:type="spellStart"/>
            <w:r>
              <w:rPr>
                <w:rStyle w:val="StrongEmphasis"/>
                <w:rFonts w:ascii="Garamond" w:hAnsi="Garamond"/>
                <w:lang w:val="en-GB"/>
              </w:rPr>
              <w:t>Stokhof</w:t>
            </w:r>
            <w:proofErr w:type="spellEnd"/>
            <w:r>
              <w:rPr>
                <w:rStyle w:val="StrongEmphasis"/>
                <w:rFonts w:ascii="Garamond" w:hAnsi="Garamond"/>
                <w:lang w:val="en-GB"/>
              </w:rPr>
              <w:t>, Martin, "Mea</w:t>
            </w:r>
            <w:r>
              <w:rPr>
                <w:rStyle w:val="StrongEmphasis"/>
                <w:rFonts w:ascii="Garamond" w:hAnsi="Garamond"/>
                <w:lang w:val="en-GB"/>
              </w:rPr>
              <w:t xml:space="preserve">ning, Interpretation, and Semantics". In: Barker-Plummer, Beaver, Van </w:t>
            </w:r>
            <w:proofErr w:type="spellStart"/>
            <w:r>
              <w:rPr>
                <w:rStyle w:val="StrongEmphasis"/>
                <w:rFonts w:ascii="Garamond" w:hAnsi="Garamond"/>
                <w:lang w:val="en-GB"/>
              </w:rPr>
              <w:t>Benthem</w:t>
            </w:r>
            <w:proofErr w:type="spellEnd"/>
            <w:r>
              <w:rPr>
                <w:rStyle w:val="StrongEmphasis"/>
                <w:rFonts w:ascii="Garamond" w:hAnsi="Garamond"/>
                <w:lang w:val="en-GB"/>
              </w:rPr>
              <w:t xml:space="preserve"> &amp; Di </w:t>
            </w:r>
            <w:proofErr w:type="spellStart"/>
            <w:r>
              <w:rPr>
                <w:rStyle w:val="StrongEmphasis"/>
                <w:rFonts w:ascii="Garamond" w:hAnsi="Garamond"/>
                <w:lang w:val="en-GB"/>
              </w:rPr>
              <w:t>Luzio</w:t>
            </w:r>
            <w:proofErr w:type="spellEnd"/>
            <w:r>
              <w:rPr>
                <w:rStyle w:val="StrongEmphasis"/>
                <w:rFonts w:ascii="Garamond" w:hAnsi="Garamond"/>
                <w:lang w:val="en-GB"/>
              </w:rPr>
              <w:t xml:space="preserve"> (eds), Words, Proofs, and Diagrams. CSLI Press, 2002. 217--240.</w:t>
            </w:r>
          </w:p>
          <w:p w14:paraId="14D5767F" w14:textId="77777777" w:rsidR="00D13E4D" w:rsidRDefault="00D13E4D">
            <w:pPr>
              <w:widowControl w:val="0"/>
              <w:spacing w:after="0"/>
              <w:rPr>
                <w:rFonts w:ascii="Garamond" w:hAnsi="Garamond"/>
                <w:bCs/>
                <w:lang w:val="en-GB"/>
              </w:rPr>
            </w:pPr>
          </w:p>
        </w:tc>
      </w:tr>
    </w:tbl>
    <w:p w14:paraId="2A839DEE" w14:textId="77777777" w:rsidR="00D13E4D" w:rsidRDefault="00D13E4D">
      <w:pPr>
        <w:pStyle w:val="Nincstrkz"/>
      </w:pPr>
    </w:p>
    <w:sectPr w:rsidR="00D13E4D">
      <w:footerReference w:type="default" r:id="rId7"/>
      <w:headerReference w:type="first" r:id="rId8"/>
      <w:footerReference w:type="first" r:id="rId9"/>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2B6B" w14:textId="77777777" w:rsidR="00000000" w:rsidRDefault="00EA06C9">
      <w:pPr>
        <w:spacing w:after="0" w:line="240" w:lineRule="auto"/>
      </w:pPr>
      <w:r>
        <w:separator/>
      </w:r>
    </w:p>
  </w:endnote>
  <w:endnote w:type="continuationSeparator" w:id="0">
    <w:p w14:paraId="18743B72" w14:textId="77777777" w:rsidR="00000000" w:rsidRDefault="00EA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C7812" w14:textId="77777777" w:rsidR="00D13E4D" w:rsidRDefault="00EA06C9">
    <w:pPr>
      <w:pStyle w:val="llb"/>
      <w:jc w:val="center"/>
    </w:pPr>
    <w:r>
      <w:fldChar w:fldCharType="begin"/>
    </w:r>
    <w:r>
      <w:instrText>PAGE</w:instrText>
    </w:r>
    <w:r>
      <w:fldChar w:fldCharType="separate"/>
    </w:r>
    <w:r>
      <w:t>2</w:t>
    </w:r>
    <w:r>
      <w:fldChar w:fldCharType="end"/>
    </w:r>
  </w:p>
  <w:p w14:paraId="09D74653" w14:textId="77777777" w:rsidR="00D13E4D" w:rsidRDefault="00D13E4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6F19" w14:textId="77777777" w:rsidR="00D13E4D" w:rsidRDefault="00EA06C9">
    <w:pPr>
      <w:pStyle w:val="llb"/>
      <w:jc w:val="center"/>
    </w:pPr>
    <w:r>
      <w:fldChar w:fldCharType="begin"/>
    </w:r>
    <w:r>
      <w:instrText>PAGE</w:instrText>
    </w:r>
    <w:r>
      <w:fldChar w:fldCharType="separate"/>
    </w:r>
    <w:r>
      <w:t>1</w:t>
    </w:r>
    <w:r>
      <w:fldChar w:fldCharType="end"/>
    </w:r>
  </w:p>
  <w:p w14:paraId="7606CC26" w14:textId="77777777" w:rsidR="00D13E4D" w:rsidRDefault="00D13E4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E88CF" w14:textId="77777777" w:rsidR="00000000" w:rsidRDefault="00EA06C9">
      <w:pPr>
        <w:spacing w:after="0" w:line="240" w:lineRule="auto"/>
      </w:pPr>
      <w:r>
        <w:separator/>
      </w:r>
    </w:p>
  </w:footnote>
  <w:footnote w:type="continuationSeparator" w:id="0">
    <w:p w14:paraId="6CC585E3" w14:textId="77777777" w:rsidR="00000000" w:rsidRDefault="00EA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567" w:type="dxa"/>
      <w:tblLayout w:type="fixed"/>
      <w:tblCellMar>
        <w:left w:w="0" w:type="dxa"/>
        <w:right w:w="0" w:type="dxa"/>
      </w:tblCellMar>
      <w:tblLook w:val="04A0" w:firstRow="1" w:lastRow="0" w:firstColumn="1" w:lastColumn="0" w:noHBand="0" w:noVBand="1"/>
    </w:tblPr>
    <w:tblGrid>
      <w:gridCol w:w="4196"/>
      <w:gridCol w:w="1814"/>
      <w:gridCol w:w="4338"/>
    </w:tblGrid>
    <w:tr w:rsidR="00D13E4D" w14:paraId="7C30370C" w14:textId="77777777">
      <w:trPr>
        <w:trHeight w:val="835"/>
      </w:trPr>
      <w:tc>
        <w:tcPr>
          <w:tcW w:w="4196" w:type="dxa"/>
        </w:tcPr>
        <w:p w14:paraId="11941A82" w14:textId="77777777" w:rsidR="00D13E4D" w:rsidRDefault="00EA06C9">
          <w:pPr>
            <w:pStyle w:val="Nincstrkz"/>
            <w:widowControl w:val="0"/>
            <w:spacing w:line="252" w:lineRule="auto"/>
            <w:rPr>
              <w:rFonts w:ascii="Garamond" w:hAnsi="Garamond"/>
              <w:b/>
              <w:sz w:val="18"/>
              <w:szCs w:val="18"/>
            </w:rPr>
          </w:pPr>
          <w:r>
            <w:rPr>
              <w:rFonts w:ascii="Garamond" w:hAnsi="Garamond"/>
              <w:b/>
              <w:sz w:val="18"/>
              <w:szCs w:val="18"/>
            </w:rPr>
            <w:t>EÖTVÖS LORÁND TUDOMÁNYEGYETEM</w:t>
          </w:r>
        </w:p>
        <w:p w14:paraId="79C9A558" w14:textId="77777777" w:rsidR="00D13E4D" w:rsidRDefault="00EA06C9">
          <w:pPr>
            <w:pStyle w:val="Nincstrkz"/>
            <w:widowControl w:val="0"/>
            <w:spacing w:line="252" w:lineRule="auto"/>
            <w:rPr>
              <w:rFonts w:ascii="Garamond" w:hAnsi="Garamond"/>
              <w:b/>
              <w:spacing w:val="20"/>
              <w:sz w:val="18"/>
              <w:szCs w:val="18"/>
            </w:rPr>
          </w:pPr>
          <w:r>
            <w:rPr>
              <w:rFonts w:ascii="Garamond" w:hAnsi="Garamond"/>
              <w:b/>
              <w:spacing w:val="20"/>
              <w:sz w:val="18"/>
              <w:szCs w:val="18"/>
            </w:rPr>
            <w:t>Bölcsészettudományi Kar</w:t>
          </w:r>
        </w:p>
        <w:p w14:paraId="47D9230B" w14:textId="77777777" w:rsidR="00D13E4D" w:rsidRDefault="00EA06C9">
          <w:pPr>
            <w:pStyle w:val="Nincstrkz"/>
            <w:widowControl w:val="0"/>
            <w:spacing w:line="252" w:lineRule="auto"/>
            <w:rPr>
              <w:rFonts w:ascii="Garamond" w:hAnsi="Garamond"/>
              <w:sz w:val="18"/>
              <w:szCs w:val="18"/>
            </w:rPr>
          </w:pPr>
          <w:r>
            <w:rPr>
              <w:rFonts w:ascii="Garamond" w:hAnsi="Garamond"/>
              <w:sz w:val="18"/>
              <w:szCs w:val="18"/>
            </w:rPr>
            <w:t xml:space="preserve">Email: </w:t>
          </w:r>
          <w:r>
            <w:rPr>
              <w:rFonts w:ascii="Garamond" w:hAnsi="Garamond"/>
              <w:sz w:val="18"/>
              <w:szCs w:val="18"/>
            </w:rPr>
            <w:t>incoming@btk.elte.hu</w:t>
          </w:r>
        </w:p>
      </w:tc>
      <w:tc>
        <w:tcPr>
          <w:tcW w:w="1814" w:type="dxa"/>
          <w:vAlign w:val="center"/>
        </w:tcPr>
        <w:p w14:paraId="7022436C" w14:textId="77777777" w:rsidR="00D13E4D" w:rsidRDefault="00EA06C9">
          <w:pPr>
            <w:widowControl w:val="0"/>
            <w:tabs>
              <w:tab w:val="right" w:pos="9639"/>
            </w:tabs>
            <w:jc w:val="center"/>
            <w:rPr>
              <w:rFonts w:ascii="Garamond" w:hAnsi="Garamond"/>
              <w:b/>
              <w:smallCaps/>
              <w:color w:val="000000"/>
            </w:rPr>
          </w:pPr>
          <w:r>
            <w:rPr>
              <w:rFonts w:ascii="Garamond" w:hAnsi="Garamond"/>
              <w:b/>
              <w:smallCaps/>
              <w:noProof/>
              <w:color w:val="000000"/>
            </w:rPr>
            <w:drawing>
              <wp:anchor distT="0" distB="0" distL="0" distR="0" simplePos="0" relativeHeight="2" behindDoc="1" locked="0" layoutInCell="1" allowOverlap="1" wp14:anchorId="19C5210E" wp14:editId="3A91DD91">
                <wp:simplePos x="0" y="0"/>
                <wp:positionH relativeFrom="character">
                  <wp:posOffset>-492760</wp:posOffset>
                </wp:positionH>
                <wp:positionV relativeFrom="paragraph">
                  <wp:posOffset>-81280</wp:posOffset>
                </wp:positionV>
                <wp:extent cx="930910" cy="930910"/>
                <wp:effectExtent l="0" t="0" r="0" b="0"/>
                <wp:wrapNone/>
                <wp:docPr id="1" name="Kép 2"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2" descr="cimer_szin"/>
                        <pic:cNvPicPr>
                          <a:picLocks noChangeAspect="1" noChangeArrowheads="1"/>
                        </pic:cNvPicPr>
                      </pic:nvPicPr>
                      <pic:blipFill>
                        <a:blip r:embed="rId1"/>
                        <a:stretch>
                          <a:fillRect/>
                        </a:stretch>
                      </pic:blipFill>
                      <pic:spPr bwMode="auto">
                        <a:xfrm>
                          <a:off x="0" y="0"/>
                          <a:ext cx="930910" cy="930910"/>
                        </a:xfrm>
                        <a:prstGeom prst="rect">
                          <a:avLst/>
                        </a:prstGeom>
                      </pic:spPr>
                    </pic:pic>
                  </a:graphicData>
                </a:graphic>
              </wp:anchor>
            </w:drawing>
          </w:r>
        </w:p>
      </w:tc>
      <w:tc>
        <w:tcPr>
          <w:tcW w:w="4338" w:type="dxa"/>
        </w:tcPr>
        <w:p w14:paraId="6D816BAF" w14:textId="77777777" w:rsidR="00D13E4D" w:rsidRDefault="00EA06C9">
          <w:pPr>
            <w:pStyle w:val="Nincstrkz"/>
            <w:widowControl w:val="0"/>
            <w:spacing w:line="252" w:lineRule="auto"/>
            <w:jc w:val="right"/>
            <w:rPr>
              <w:rFonts w:ascii="Garamond" w:hAnsi="Garamond"/>
              <w:b/>
              <w:sz w:val="18"/>
              <w:szCs w:val="18"/>
            </w:rPr>
          </w:pPr>
          <w:r>
            <w:rPr>
              <w:rFonts w:ascii="Garamond" w:hAnsi="Garamond"/>
              <w:b/>
              <w:sz w:val="18"/>
              <w:szCs w:val="18"/>
            </w:rPr>
            <w:t>EÖTVÖS LORÁND UNIVERSITY</w:t>
          </w:r>
        </w:p>
        <w:p w14:paraId="190D16AE" w14:textId="77777777" w:rsidR="00D13E4D" w:rsidRDefault="00EA06C9">
          <w:pPr>
            <w:pStyle w:val="Nincstrkz"/>
            <w:widowControl w:val="0"/>
            <w:spacing w:line="252" w:lineRule="auto"/>
            <w:jc w:val="right"/>
            <w:rPr>
              <w:rFonts w:ascii="Garamond" w:hAnsi="Garamond"/>
              <w:b/>
              <w:sz w:val="18"/>
              <w:szCs w:val="18"/>
            </w:rPr>
          </w:pPr>
          <w:proofErr w:type="spellStart"/>
          <w:r>
            <w:rPr>
              <w:rFonts w:ascii="Garamond" w:hAnsi="Garamond"/>
              <w:b/>
              <w:spacing w:val="20"/>
              <w:sz w:val="18"/>
              <w:szCs w:val="18"/>
            </w:rPr>
            <w:t>Faculty</w:t>
          </w:r>
          <w:proofErr w:type="spellEnd"/>
          <w:r>
            <w:rPr>
              <w:rFonts w:ascii="Garamond" w:hAnsi="Garamond"/>
              <w:b/>
              <w:spacing w:val="20"/>
              <w:sz w:val="18"/>
              <w:szCs w:val="18"/>
            </w:rPr>
            <w:t xml:space="preserve"> of </w:t>
          </w:r>
          <w:proofErr w:type="spellStart"/>
          <w:r>
            <w:rPr>
              <w:rFonts w:ascii="Garamond" w:hAnsi="Garamond"/>
              <w:b/>
              <w:spacing w:val="20"/>
              <w:sz w:val="18"/>
              <w:szCs w:val="18"/>
            </w:rPr>
            <w:t>Humanitie</w:t>
          </w:r>
          <w:r>
            <w:rPr>
              <w:rFonts w:ascii="Garamond" w:hAnsi="Garamond"/>
              <w:b/>
              <w:sz w:val="18"/>
              <w:szCs w:val="18"/>
            </w:rPr>
            <w:t>s</w:t>
          </w:r>
          <w:proofErr w:type="spellEnd"/>
        </w:p>
        <w:p w14:paraId="262BDFAA" w14:textId="77777777" w:rsidR="00D13E4D" w:rsidRDefault="00EA06C9">
          <w:pPr>
            <w:pStyle w:val="Nincstrkz"/>
            <w:widowControl w:val="0"/>
            <w:spacing w:line="252" w:lineRule="auto"/>
            <w:jc w:val="right"/>
            <w:rPr>
              <w:rFonts w:ascii="Garamond" w:hAnsi="Garamond"/>
              <w:color w:val="000000"/>
              <w:sz w:val="18"/>
              <w:szCs w:val="18"/>
            </w:rPr>
          </w:pPr>
          <w:r>
            <w:rPr>
              <w:rFonts w:ascii="Garamond" w:hAnsi="Garamond"/>
              <w:color w:val="000000"/>
              <w:sz w:val="18"/>
              <w:szCs w:val="18"/>
            </w:rPr>
            <w:t>E-mail: incoming@btk.elte.hu</w:t>
          </w:r>
        </w:p>
      </w:tc>
    </w:tr>
  </w:tbl>
  <w:p w14:paraId="60BCD3B3" w14:textId="77777777" w:rsidR="00D13E4D" w:rsidRDefault="00D13E4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7485E"/>
    <w:multiLevelType w:val="multilevel"/>
    <w:tmpl w:val="134CA6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6536A52"/>
    <w:multiLevelType w:val="multilevel"/>
    <w:tmpl w:val="4B86AD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4D"/>
    <w:rsid w:val="00D13E4D"/>
    <w:rsid w:val="00EA06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8FBF"/>
  <w15:docId w15:val="{2B13F795-EEA5-46B2-A8B9-4705E978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qFormat/>
  </w:style>
  <w:style w:type="character" w:customStyle="1" w:styleId="llbChar">
    <w:name w:val="Élőláb Char"/>
    <w:basedOn w:val="Bekezdsalapbettpusa"/>
    <w:qFormat/>
  </w:style>
  <w:style w:type="character" w:customStyle="1" w:styleId="Hangsfafafafalyoze1e1e1e1s">
    <w:name w:val="Hangsúfafafafalyozáe1e1e1e1s"/>
    <w:qFormat/>
    <w:rPr>
      <w:i/>
    </w:rPr>
  </w:style>
  <w:style w:type="character" w:styleId="Hiperhivatkozs">
    <w:name w:val="Hyperlink"/>
    <w:rPr>
      <w:color w:val="0000FF"/>
      <w:u w:val="single"/>
    </w:rPr>
  </w:style>
  <w:style w:type="character" w:styleId="Kiemels">
    <w:name w:val="Emphasis"/>
    <w:qFormat/>
    <w:rPr>
      <w:i/>
      <w:iCs/>
    </w:rPr>
  </w:style>
  <w:style w:type="character" w:customStyle="1" w:styleId="SzvegtrzsChar">
    <w:name w:val="Szövegtörzs Char"/>
    <w:basedOn w:val="Bekezdsalapbettpusa"/>
    <w:qFormat/>
    <w:rPr>
      <w:rFonts w:ascii="Times New Roman" w:eastAsia="Times New Roman" w:hAnsi="Times New Roman" w:cs="Times New Roman"/>
      <w:sz w:val="24"/>
      <w:szCs w:val="24"/>
      <w:lang w:eastAsia="hu-HU"/>
    </w:rPr>
  </w:style>
  <w:style w:type="character" w:styleId="Feloldatlanmegemlts">
    <w:name w:val="Unresolved Mention"/>
    <w:basedOn w:val="Bekezdsalapbettpusa"/>
    <w:qFormat/>
    <w:rPr>
      <w:color w:val="605E5C"/>
      <w:shd w:val="clear" w:color="auto" w:fill="E1DFDD"/>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l"/>
    <w:next w:val="Szvegtrzs"/>
    <w:qFormat/>
    <w:pPr>
      <w:keepNext/>
      <w:spacing w:before="240" w:after="120"/>
    </w:pPr>
    <w:rPr>
      <w:rFonts w:ascii="Liberation Sans" w:eastAsia="Arial Unicode MS" w:hAnsi="Liberation Sans" w:cs="Mangal"/>
      <w:sz w:val="28"/>
      <w:szCs w:val="28"/>
    </w:rPr>
  </w:style>
  <w:style w:type="paragraph" w:styleId="Szvegtrzs">
    <w:name w:val="Body Text"/>
    <w:basedOn w:val="Norml"/>
    <w:pPr>
      <w:spacing w:after="140" w:line="276" w:lineRule="auto"/>
    </w:pPr>
    <w:rPr>
      <w:rFonts w:ascii="Times New Roman" w:eastAsia="Times New Roman" w:hAnsi="Times New Roman" w:cs="Times New Roman"/>
      <w:sz w:val="24"/>
      <w:szCs w:val="24"/>
      <w:lang w:eastAsia="hu-HU"/>
    </w:r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Index">
    <w:name w:val="Index"/>
    <w:basedOn w:val="Norml"/>
    <w:qFormat/>
    <w:pPr>
      <w:suppressLineNumbers/>
    </w:pPr>
    <w:rPr>
      <w:rFonts w:cs="Mangal"/>
    </w:rPr>
  </w:style>
  <w:style w:type="paragraph" w:customStyle="1" w:styleId="HeaderandFooter">
    <w:name w:val="Header and Footer"/>
    <w:basedOn w:val="Norml"/>
    <w:qFormat/>
  </w:style>
  <w:style w:type="paragraph" w:styleId="lfej">
    <w:name w:val="header"/>
    <w:basedOn w:val="Norml"/>
    <w:pPr>
      <w:tabs>
        <w:tab w:val="center" w:pos="4536"/>
        <w:tab w:val="right" w:pos="9072"/>
      </w:tabs>
      <w:spacing w:after="0" w:line="240" w:lineRule="auto"/>
    </w:pPr>
  </w:style>
  <w:style w:type="paragraph" w:styleId="llb">
    <w:name w:val="footer"/>
    <w:basedOn w:val="Norml"/>
    <w:pPr>
      <w:tabs>
        <w:tab w:val="center" w:pos="4536"/>
        <w:tab w:val="right" w:pos="9072"/>
      </w:tabs>
      <w:spacing w:after="0" w:line="240" w:lineRule="auto"/>
    </w:pPr>
  </w:style>
  <w:style w:type="paragraph" w:styleId="Nincstrkz">
    <w:name w:val="No Spacing"/>
    <w:qFormat/>
  </w:style>
  <w:style w:type="paragraph" w:customStyle="1" w:styleId="Te1e1e1e1ble1e1e1e1zattartalom">
    <w:name w:val="Táe1e1e1e1bláe1e1e1e1zattartalom"/>
    <w:basedOn w:val="Norml"/>
    <w:qFormat/>
    <w:pPr>
      <w:spacing w:after="200" w:line="276" w:lineRule="auto"/>
    </w:pPr>
    <w:rPr>
      <w:rFonts w:eastAsia="Times New Roman"/>
      <w:color w:val="000000"/>
      <w:kern w:val="2"/>
      <w:lang w:eastAsia="hu-HU" w:bidi="hi-IN"/>
    </w:rPr>
  </w:style>
  <w:style w:type="paragraph" w:customStyle="1" w:styleId="DefaultStyle">
    <w:name w:val="Default Style"/>
    <w:qFormat/>
    <w:pPr>
      <w:spacing w:after="160" w:line="259" w:lineRule="auto"/>
    </w:pPr>
    <w:rPr>
      <w:rFonts w:ascii="Times New Roman" w:eastAsia="Times New Roman" w:hAnsi="Times New Roman" w:cs="Times New Roman"/>
      <w:color w:val="00000A"/>
      <w:sz w:val="24"/>
      <w:szCs w:val="24"/>
      <w:lang w:eastAsia="hu-HU"/>
    </w:rPr>
  </w:style>
  <w:style w:type="paragraph" w:styleId="Listaszerbekezds">
    <w:name w:val="List Paragraph"/>
    <w:basedOn w:val="Norml"/>
    <w:qFormat/>
    <w:pPr>
      <w:ind w:left="720"/>
      <w:contextualSpacing/>
    </w:pPr>
    <w:rPr>
      <w:lang w:val="en-GB"/>
    </w:rPr>
  </w:style>
  <w:style w:type="paragraph" w:styleId="Irodalomjegyzk">
    <w:name w:val="Bibliography"/>
    <w:basedOn w:val="Norml"/>
    <w:next w:val="Norml"/>
    <w:qFormat/>
    <w:pPr>
      <w:spacing w:after="200" w:line="276" w:lineRule="auto"/>
    </w:pPr>
    <w:rPr>
      <w:rFonts w:eastAsia="Times New Roman" w:cs="Mangal"/>
      <w:color w:val="000000"/>
      <w:kern w:val="2"/>
      <w:szCs w:val="20"/>
      <w:lang w:eastAsia="hu-HU" w:bidi="hi-IN"/>
    </w:rPr>
  </w:style>
  <w:style w:type="paragraph" w:customStyle="1" w:styleId="Te1ble1zattartalom">
    <w:name w:val="Táe1bláe1zattartalom"/>
    <w:basedOn w:val="Norml"/>
    <w:qFormat/>
    <w:pPr>
      <w:spacing w:after="200" w:line="276" w:lineRule="auto"/>
    </w:pPr>
    <w:rPr>
      <w:rFonts w:eastAsia="Times New Roman"/>
      <w:color w:val="000000"/>
      <w:lang w:eastAsia="hu-HU" w:bidi="hi-IN"/>
    </w:rPr>
  </w:style>
  <w:style w:type="paragraph" w:customStyle="1" w:styleId="Te1e1e1e1e1ble1e1e1e1e1zattartalom">
    <w:name w:val="Táe1e1e1e1e1bláe1e1e1e1e1zattartalom"/>
    <w:basedOn w:val="Norml"/>
    <w:qFormat/>
    <w:pPr>
      <w:spacing w:after="200" w:line="276" w:lineRule="exact"/>
    </w:pPr>
    <w:rPr>
      <w:rFonts w:eastAsia="Times New Roman"/>
      <w:color w:val="000000"/>
      <w:kern w:val="2"/>
      <w:lang w:eastAsia="hu-HU" w:bidi="hi-IN"/>
    </w:rPr>
  </w:style>
  <w:style w:type="paragraph" w:customStyle="1" w:styleId="TableContents">
    <w:name w:val="Table Contents"/>
    <w:basedOn w:val="Norml"/>
    <w:qFormat/>
    <w:pPr>
      <w:widowControl w:val="0"/>
      <w:suppressLineNumbers/>
    </w:pPr>
  </w:style>
  <w:style w:type="paragraph" w:customStyle="1" w:styleId="Body">
    <w:name w:val="Body"/>
    <w:qFormat/>
    <w:rPr>
      <w:rFonts w:ascii="Times New Roman" w:eastAsia="Liberation Serif" w:hAnsi="Times New Roman" w:cs="Liberation Serif"/>
      <w:color w:val="000000"/>
      <w:sz w:val="24"/>
      <w:szCs w:val="24"/>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1913</Characters>
  <Application>Microsoft Office Word</Application>
  <DocSecurity>4</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dc:description/>
  <cp:lastModifiedBy>Gáll Katalin</cp:lastModifiedBy>
  <cp:revision>2</cp:revision>
  <dcterms:created xsi:type="dcterms:W3CDTF">2022-01-24T12:51:00Z</dcterms:created>
  <dcterms:modified xsi:type="dcterms:W3CDTF">2022-01-24T12:51:00Z</dcterms:modified>
  <dc:language>en-US</dc:language>
</cp:coreProperties>
</file>