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</w:r>
    </w:p>
    <w:p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</w:r>
    </w:p>
    <w:p>
      <w:pPr>
        <w:pStyle w:val="NoSpacing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COURSE DESCRIPTIONS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Garamond"/>
          <w:kern w:val="2"/>
          <w:sz w:val="22"/>
          <w:szCs w:val="22"/>
          <w:lang w:eastAsia="hu-HU" w:bidi="hi-IN"/>
        </w:rPr>
      </w:pPr>
      <w:r>
        <w:rPr>
          <w:rFonts w:eastAsia="Times New Roman" w:cs="Garamond" w:ascii="Arial" w:hAnsi="Arial"/>
          <w:kern w:val="2"/>
          <w:sz w:val="22"/>
          <w:szCs w:val="22"/>
          <w:lang w:eastAsia="hu-HU" w:bidi="hi-IN"/>
        </w:rPr>
      </w:r>
    </w:p>
    <w:tbl>
      <w:tblPr>
        <w:tblW w:w="9212" w:type="dxa"/>
        <w:jc w:val="left"/>
        <w:tblInd w:w="-5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eastAsia="hu-HU" w:bidi="hi-IN"/>
              </w:rPr>
              <w:t>Code of course:</w:t>
            </w:r>
            <w:r>
              <w:rPr>
                <w:rFonts w:eastAsia="Times New Roman" w:cs="Arial" w:ascii="Arial" w:hAnsi="Arial"/>
                <w:b w:val="false"/>
                <w:bCs w:val="false"/>
                <w:kern w:val="2"/>
                <w:sz w:val="22"/>
                <w:szCs w:val="22"/>
                <w:lang w:eastAsia="hu-HU" w:bidi="hi-IN"/>
              </w:rPr>
              <w:t xml:space="preserve"> BMI-LOTD17-102E, BMI-LOTD-102E.2, BMA-LOTD17-102, BMA-FILD-301.1, BBN-FIL18-301, BBN-FIL-301.1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en-GB" w:eastAsia="hu-HU" w:bidi="hi-IN"/>
              </w:rPr>
              <w:t>Title of course:</w:t>
            </w:r>
            <w:r>
              <w:rPr>
                <w:rFonts w:eastAsia="Times New Roman" w:cs="Arial" w:ascii="Arial" w:hAnsi="Arial"/>
                <w:b w:val="false"/>
                <w:bCs w:val="false"/>
                <w:kern w:val="2"/>
                <w:sz w:val="22"/>
                <w:szCs w:val="22"/>
                <w:lang w:val="en-GB" w:eastAsia="hu-HU" w:bidi="hi-IN"/>
              </w:rPr>
              <w:t xml:space="preserve"> Logic lecture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en-GB" w:eastAsia="hu-HU" w:bidi="hi-IN"/>
              </w:rPr>
              <w:t>Lecturer:</w:t>
            </w:r>
            <w:r>
              <w:rPr>
                <w:rFonts w:eastAsia="Times New Roman" w:cs="Arial" w:ascii="Arial" w:hAnsi="Arial"/>
                <w:b w:val="false"/>
                <w:bCs w:val="false"/>
                <w:kern w:val="2"/>
                <w:sz w:val="22"/>
                <w:szCs w:val="22"/>
                <w:lang w:val="en-GB" w:eastAsia="hu-HU" w:bidi="hi-IN"/>
              </w:rPr>
              <w:t xml:space="preserve"> Márton Gömöri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en-GB" w:eastAsia="hu-HU" w:bidi="hi-IN"/>
              </w:rPr>
              <w:t>General aim of the course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>The course provides an introduction to first-order logic.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2"/>
                <w:sz w:val="22"/>
                <w:szCs w:val="22"/>
                <w:lang w:val="en-GB" w:eastAsia="hu-HU" w:bidi="hi-IN"/>
              </w:rPr>
              <w:t>Content of the course</w:t>
            </w:r>
            <w:r>
              <w:rPr>
                <w:rFonts w:eastAsia="Times New Roman" w:cs="Arial" w:ascii="Arial" w:hAnsi="Arial"/>
                <w:color w:val="000000"/>
                <w:kern w:val="2"/>
                <w:sz w:val="22"/>
                <w:szCs w:val="22"/>
                <w:lang w:val="en-GB" w:eastAsia="hu-HU" w:bidi="hi-IN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/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Syntacs of first-order languages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Sets, relations, functions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Semantics of first-order languages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 xml:space="preserve">Central logical notions 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in first-order logic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Deductive systems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Soundness and completeness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First-order theories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eastAsia="hu-HU"/>
              </w:rPr>
              <w:t>Peano arithmetic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eastAsia="hu-HU"/>
              </w:rPr>
              <w:t>Infinite sets and set theory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eastAsia="hu-HU"/>
              </w:rPr>
              <w:t>Löwenheim-Skolem theorem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eastAsia="hu-HU"/>
              </w:rPr>
              <w:t xml:space="preserve">Limits of first-order logic 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eastAsia="hu-HU"/>
              </w:rPr>
              <w:t>and the idea of second-order logic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en-GB" w:eastAsia="hu-HU"/>
              </w:rPr>
              <w:t>Grading criteria, specific requirements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2"/>
                <w:sz w:val="22"/>
                <w:szCs w:val="22"/>
                <w:lang w:val="en-GB" w:eastAsia="hu-HU" w:bidi="hi-IN"/>
              </w:rPr>
              <w:t>Oral exam</w:t>
            </w:r>
            <w:r>
              <w:rPr>
                <w:rFonts w:eastAsia="Times New Roman" w:cs="Arial" w:ascii="Arial" w:hAnsi="Arial"/>
                <w:color w:val="000000"/>
                <w:kern w:val="2"/>
                <w:sz w:val="22"/>
                <w:szCs w:val="22"/>
                <w:lang w:val="en-GB" w:eastAsia="hu-HU" w:bidi="hi-IN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en-GB" w:eastAsia="hu-HU" w:bidi="hi-IN"/>
              </w:rPr>
              <w:t>Required reading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>:</w:t>
            </w:r>
          </w:p>
          <w:p>
            <w:pPr>
              <w:pStyle w:val="TextBody"/>
              <w:widowControl w:val="false"/>
              <w:suppressAutoHyphens w:val="true"/>
              <w:spacing w:lineRule="auto" w:line="252" w:before="0" w:after="0"/>
              <w:rPr/>
            </w:pPr>
            <w:bookmarkStart w:id="0" w:name="magicparlabel-2711"/>
            <w:bookmarkEnd w:id="0"/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 xml:space="preserve">P. D. Magnus and T. Button, </w:t>
            </w:r>
            <w:r>
              <w:rPr>
                <w:rStyle w:val="Emphasis"/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>forallx:Cambridge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>, 2017.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 xml:space="preserve">J. Barwise and J. Etchemendy, 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22"/>
                <w:szCs w:val="22"/>
                <w:lang w:val="en-GB" w:eastAsia="hu-HU" w:bidi="hi-IN"/>
              </w:rPr>
              <w:t>Language, Proof and Logic.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 xml:space="preserve"> CSLI Publications, 2011.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val="en-GB" w:eastAsia="hu-HU" w:bidi="hi-IN"/>
              </w:rPr>
              <w:t>Suggested further reading</w:t>
            </w: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en-GB" w:eastAsia="hu-HU" w:bidi="hi-IN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ascii="Arial" w:hAnsi="Arial"/>
                <w:b w:val="false"/>
                <w:bCs w:val="false"/>
                <w:sz w:val="22"/>
                <w:szCs w:val="22"/>
                <w:lang w:val="en-GB"/>
              </w:rPr>
              <w:t xml:space="preserve">H. Halvorson, </w:t>
            </w:r>
            <w:r>
              <w:rPr>
                <w:rFonts w:eastAsia="Arial" w:ascii="Arial" w:hAnsi="Arial"/>
                <w:b w:val="false"/>
                <w:bCs w:val="false"/>
                <w:i/>
                <w:iCs/>
                <w:sz w:val="22"/>
                <w:szCs w:val="22"/>
                <w:lang w:val="en-GB"/>
              </w:rPr>
              <w:t>How Logic Works: A User's Guide</w:t>
            </w:r>
            <w:r>
              <w:rPr>
                <w:rFonts w:eastAsia="Arial" w:ascii="Arial" w:hAnsi="Arial"/>
                <w:b w:val="false"/>
                <w:bCs w:val="false"/>
                <w:sz w:val="22"/>
                <w:szCs w:val="22"/>
                <w:lang w:val="en-GB"/>
              </w:rPr>
              <w:t>. Princeton, NJ: Princeton University Press, 2020.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2"/>
                <w:sz w:val="22"/>
                <w:szCs w:val="22"/>
                <w:lang w:val="en-GB" w:eastAsia="hu-HU" w:bidi="hi-IN"/>
              </w:rPr>
              <w:t xml:space="preserve">I. Chiswell and W. Hodges, 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2"/>
                <w:sz w:val="22"/>
                <w:szCs w:val="22"/>
                <w:lang w:val="en-GB" w:eastAsia="hu-HU" w:bidi="hi-IN"/>
              </w:rPr>
              <w:t>Mathematical Logic</w:t>
            </w:r>
            <w:r>
              <w:rPr>
                <w:rFonts w:eastAsia="Arial" w:cs="Arial" w:ascii="Arial" w:hAnsi="Arial"/>
                <w:b w:val="false"/>
                <w:bCs w:val="false"/>
                <w:kern w:val="2"/>
                <w:sz w:val="22"/>
                <w:szCs w:val="22"/>
                <w:lang w:val="en-GB" w:eastAsia="hu-HU" w:bidi="hi-IN"/>
              </w:rPr>
              <w:t>. Oxford University Press, 2007.</w:t>
            </w:r>
          </w:p>
        </w:tc>
      </w:tr>
    </w:tbl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348" w:type="dxa"/>
      <w:jc w:val="left"/>
      <w:tblInd w:w="-567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196"/>
      <w:gridCol w:w="1814"/>
      <w:gridCol w:w="4338"/>
    </w:tblGrid>
    <w:tr>
      <w:trPr>
        <w:trHeight w:val="835" w:hRule="atLeast"/>
      </w:trPr>
      <w:tc>
        <w:tcPr>
          <w:tcW w:w="4196" w:type="dxa"/>
          <w:tcBorders/>
        </w:tcPr>
        <w:p>
          <w:pPr>
            <w:pStyle w:val="NoSpacing"/>
            <w:widowControl w:val="false"/>
            <w:spacing w:lineRule="auto" w:line="252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>
          <w:pPr>
            <w:pStyle w:val="NoSpacing"/>
            <w:widowControl w:val="false"/>
            <w:spacing w:lineRule="auto" w:line="252"/>
            <w:rPr>
              <w:rFonts w:ascii="Garamond" w:hAnsi="Garamond"/>
              <w:b/>
              <w:spacing w:val="20"/>
              <w:sz w:val="18"/>
              <w:szCs w:val="18"/>
            </w:rPr>
          </w:pPr>
          <w:r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>
          <w:pPr>
            <w:pStyle w:val="NoSpacing"/>
            <w:widowControl w:val="false"/>
            <w:spacing w:lineRule="auto" w:line="252"/>
            <w:rPr>
              <w:rFonts w:ascii="Garamond" w:hAnsi="Garamond"/>
              <w:sz w:val="18"/>
              <w:szCs w:val="18"/>
            </w:rPr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haracter">
                  <wp:posOffset>1368425</wp:posOffset>
                </wp:positionH>
                <wp:positionV relativeFrom="paragraph">
                  <wp:posOffset>-223520</wp:posOffset>
                </wp:positionV>
                <wp:extent cx="930910" cy="930910"/>
                <wp:effectExtent l="0" t="0" r="0" b="0"/>
                <wp:wrapNone/>
                <wp:docPr id="1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right" w:pos="9639" w:leader="none"/>
            </w:tabs>
            <w:spacing w:before="0" w:after="160"/>
            <w:jc w:val="center"/>
            <w:rPr>
              <w:rFonts w:ascii="Garamond" w:hAnsi="Garamond"/>
              <w:b/>
              <w:smallCaps/>
              <w:color w:val="000000"/>
            </w:rPr>
          </w:pPr>
          <w:r>
            <w:rPr>
              <w:rFonts w:ascii="Garamond" w:hAnsi="Garamond"/>
              <w:b/>
              <w:smallCaps/>
              <w:color w:val="000000"/>
            </w:rPr>
          </w:r>
        </w:p>
      </w:tc>
      <w:tc>
        <w:tcPr>
          <w:tcW w:w="4338" w:type="dxa"/>
          <w:tcBorders/>
        </w:tcPr>
        <w:p>
          <w:pPr>
            <w:pStyle w:val="NoSpacing"/>
            <w:widowControl w:val="false"/>
            <w:spacing w:lineRule="auto" w:line="252"/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>
          <w:pPr>
            <w:pStyle w:val="NoSpacing"/>
            <w:widowControl w:val="false"/>
            <w:spacing w:lineRule="auto" w:line="252"/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pacing w:val="20"/>
              <w:sz w:val="18"/>
              <w:szCs w:val="18"/>
            </w:rPr>
            <w:t>Faculty of Humanitie</w:t>
          </w:r>
          <w:r>
            <w:rPr>
              <w:rFonts w:ascii="Garamond" w:hAnsi="Garamond"/>
              <w:b/>
              <w:sz w:val="18"/>
              <w:szCs w:val="18"/>
            </w:rPr>
            <w:t>s</w:t>
          </w:r>
        </w:p>
        <w:p>
          <w:pPr>
            <w:pStyle w:val="NoSpacing"/>
            <w:widowControl w:val="false"/>
            <w:spacing w:lineRule="auto" w:line="252"/>
            <w:jc w:val="right"/>
            <w:rPr>
              <w:rFonts w:ascii="Garamond" w:hAnsi="Garamond"/>
              <w:color w:val="000000"/>
              <w:sz w:val="18"/>
              <w:szCs w:val="18"/>
            </w:rPr>
          </w:pPr>
          <w:r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14" w:hanging="283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21" w:hanging="283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8" w:hanging="283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35" w:hanging="283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242" w:hanging="283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49" w:hanging="283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656" w:hanging="283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363" w:hanging="283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en-US" w:bidi="ar-SA"/>
    </w:rPr>
  </w:style>
  <w:style w:type="character" w:styleId="DefaultParagraphFont">
    <w:name w:val="Default Paragraph Font"/>
    <w:qFormat/>
    <w:rPr/>
  </w:style>
  <w:style w:type="character" w:styleId="LfejChar">
    <w:name w:val="Élőfej Char"/>
    <w:basedOn w:val="DefaultParagraphFont"/>
    <w:qFormat/>
    <w:rPr/>
  </w:style>
  <w:style w:type="character" w:styleId="LlbChar">
    <w:name w:val="Élőláb Char"/>
    <w:basedOn w:val="DefaultParagraphFont"/>
    <w:qFormat/>
    <w:rPr/>
  </w:style>
  <w:style w:type="character" w:styleId="Hangsfafafafalyoze1e1e1e1s">
    <w:name w:val="Hangsúfafafafalyozáe1e1e1e1s"/>
    <w:qFormat/>
    <w:rPr>
      <w:i/>
    </w:rPr>
  </w:style>
  <w:style w:type="character" w:styleId="Internet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zvegtrzsChar">
    <w:name w:val="Szövegtörzs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en-US" w:bidi="ar-SA"/>
    </w:rPr>
  </w:style>
  <w:style w:type="paragraph" w:styleId="Te1e1e1e1ble1e1e1e1zattartalom">
    <w:name w:val="Táe1e1e1e1bláe1e1e1e1zattartalom"/>
    <w:basedOn w:val="Normal"/>
    <w:qFormat/>
    <w:pPr>
      <w:suppressAutoHyphens w:val="true"/>
      <w:spacing w:lineRule="auto" w:line="276" w:before="0" w:after="200"/>
    </w:pPr>
    <w:rPr>
      <w:rFonts w:ascii="Calibri" w:hAnsi="Calibri" w:eastAsia="Times New Roman" w:cs="Calibri"/>
      <w:color w:val="000000"/>
      <w:kern w:val="2"/>
      <w:lang w:eastAsia="hu-HU" w:bidi="hi-IN"/>
    </w:rPr>
  </w:style>
  <w:style w:type="paragraph" w:styleId="DefaultStyle">
    <w:name w:val="Default Style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u-HU" w:eastAsia="hu-HU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rFonts w:cs="Calibri"/>
      <w:lang w:val="en-GB"/>
    </w:rPr>
  </w:style>
  <w:style w:type="paragraph" w:styleId="Bibliography">
    <w:name w:val="Bibliography"/>
    <w:basedOn w:val="Normal"/>
    <w:next w:val="Normal"/>
    <w:qFormat/>
    <w:pPr>
      <w:suppressAutoHyphens w:val="true"/>
      <w:spacing w:lineRule="auto" w:line="276" w:before="0" w:after="200"/>
    </w:pPr>
    <w:rPr>
      <w:rFonts w:ascii="Calibri" w:hAnsi="Calibri" w:eastAsia="Times New Roman" w:cs="Mangal"/>
      <w:color w:val="000000"/>
      <w:kern w:val="2"/>
      <w:szCs w:val="20"/>
      <w:lang w:eastAsia="hu-HU" w:bidi="hi-IN"/>
    </w:rPr>
  </w:style>
  <w:style w:type="paragraph" w:styleId="Te1ble1zattartalom">
    <w:name w:val="Táe1bláe1zattartalom"/>
    <w:basedOn w:val="Normal"/>
    <w:qFormat/>
    <w:pPr>
      <w:suppressAutoHyphens w:val="true"/>
      <w:spacing w:lineRule="auto" w:line="276" w:before="0" w:after="200"/>
    </w:pPr>
    <w:rPr>
      <w:rFonts w:ascii="Calibri" w:hAnsi="Calibri" w:eastAsia="Times New Roman" w:cs="Calibri"/>
      <w:color w:val="000000"/>
      <w:lang w:eastAsia="hu-HU" w:bidi="hi-IN"/>
    </w:rPr>
  </w:style>
  <w:style w:type="paragraph" w:styleId="Te1e1e1e1e1ble1e1e1e1e1zattartalom">
    <w:name w:val="Táe1e1e1e1e1bláe1e1e1e1e1zattartalom"/>
    <w:basedOn w:val="Normal"/>
    <w:qFormat/>
    <w:pPr>
      <w:suppressAutoHyphens w:val="true"/>
      <w:spacing w:lineRule="exact" w:line="276" w:before="0" w:after="200"/>
    </w:pPr>
    <w:rPr>
      <w:rFonts w:ascii="Calibri" w:hAnsi="Calibri" w:eastAsia="Times New Roman" w:cs="Calibri"/>
      <w:color w:val="000000"/>
      <w:kern w:val="2"/>
      <w:lang w:eastAsia="hu-HU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Body">
    <w:name w:val="Bod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u w:val="none"/>
      <w:lang w:val="hu-HU" w:eastAsia="hi-IN" w:bidi="ar-SA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LibreOffice/7.5.9.2$Linux_X86_64 LibreOffice_project/50$Build-2</Application>
  <AppVersion>15.0000</AppVersion>
  <Pages>1</Pages>
  <Words>163</Words>
  <Characters>1061</Characters>
  <CharactersWithSpaces>1181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2021-11-11T11:00:00Z</dcterms:created>
  <dc:creator>Katja</dc:creator>
  <dc:description/>
  <dc:language>en-US</dc:language>
  <cp:lastModifiedBy/>
  <dcterms:modified xsi:type="dcterms:W3CDTF">2024-01-28T12:30:27Z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