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Ind w:w="-33" w:type="dxa"/>
        <w:tblBorders>
          <w:top w:val="single" w:sz="2" w:space="0" w:color="000000"/>
          <w:left w:val="single" w:sz="6" w:space="0" w:color="B6B6B6"/>
          <w:bottom w:val="single" w:sz="2" w:space="0" w:color="000000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81"/>
        <w:gridCol w:w="9098"/>
      </w:tblGrid>
      <w:tr w:rsidR="002D3922" w:rsidRPr="002D3922" w14:paraId="0219CE00" w14:textId="77777777" w:rsidTr="002D3922">
        <w:trPr>
          <w:gridBefore w:val="1"/>
          <w:gridAfter w:val="1"/>
          <w:wBefore w:w="33" w:type="dxa"/>
          <w:wAfter w:w="9098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7B1575" w14:textId="478FB0E8" w:rsidR="002D3922" w:rsidRPr="002D3922" w:rsidRDefault="002D3922" w:rsidP="002D3922"/>
        </w:tc>
      </w:tr>
      <w:tr w:rsidR="002D3922" w:rsidRPr="002D3922" w14:paraId="7E6A155E" w14:textId="77777777" w:rsidTr="002D3922">
        <w:trPr>
          <w:gridBefore w:val="1"/>
          <w:gridAfter w:val="1"/>
          <w:wBefore w:w="33" w:type="dxa"/>
          <w:wAfter w:w="9098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008EF2" w14:textId="77777777" w:rsidR="002D3922" w:rsidRPr="002D3922" w:rsidRDefault="002D3922" w:rsidP="002D3922"/>
        </w:tc>
      </w:tr>
      <w:tr w:rsidR="004213BF" w:rsidRPr="002D3922" w14:paraId="5655860F" w14:textId="77777777" w:rsidTr="002D3922">
        <w:trPr>
          <w:gridBefore w:val="1"/>
          <w:gridAfter w:val="1"/>
          <w:wBefore w:w="33" w:type="dxa"/>
          <w:wAfter w:w="9098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7BCC33" w14:textId="77777777" w:rsidR="004213BF" w:rsidRPr="002D3922" w:rsidRDefault="004213BF" w:rsidP="002D3922"/>
        </w:tc>
      </w:tr>
      <w:tr w:rsidR="003F0F77" w14:paraId="48190F7A" w14:textId="77777777" w:rsidTr="002D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</w:tcPr>
          <w:p w14:paraId="649BCD1F" w14:textId="2815D8CB" w:rsidR="003F0F77" w:rsidRDefault="003F0F77" w:rsidP="0026522F">
            <w:r>
              <w:t>A kurzus kódja:</w:t>
            </w:r>
            <w:r w:rsidR="0033328B">
              <w:t xml:space="preserve"> </w:t>
            </w:r>
            <w:r w:rsidR="00943624" w:rsidRPr="00823158">
              <w:t>BBN-FIL-232:5</w:t>
            </w:r>
            <w:r w:rsidR="00943624">
              <w:t xml:space="preserve">; </w:t>
            </w:r>
            <w:r w:rsidR="00943624" w:rsidRPr="00823158">
              <w:t>BBN-FIL18-232.01.01</w:t>
            </w:r>
            <w:r w:rsidR="00943624">
              <w:t xml:space="preserve">; </w:t>
            </w:r>
            <w:r w:rsidR="00943624" w:rsidRPr="00823158">
              <w:t>BMA-FILD-232.13</w:t>
            </w:r>
            <w:r w:rsidR="00943624">
              <w:t xml:space="preserve">; </w:t>
            </w:r>
            <w:r w:rsidR="00943624" w:rsidRPr="00823158">
              <w:t>BBN-FIL-402.304</w:t>
            </w:r>
            <w:r w:rsidR="00943624">
              <w:t xml:space="preserve">; </w:t>
            </w:r>
            <w:r w:rsidR="00943624" w:rsidRPr="00823158">
              <w:t>BBN-FIL18-402.50</w:t>
            </w:r>
            <w:r w:rsidR="00943624">
              <w:t xml:space="preserve">; </w:t>
            </w:r>
            <w:r w:rsidR="00943624" w:rsidRPr="00823158">
              <w:t>BMA-FILD-402.310</w:t>
            </w:r>
          </w:p>
        </w:tc>
      </w:tr>
      <w:tr w:rsidR="003F0F77" w14:paraId="63D1992C" w14:textId="77777777" w:rsidTr="002D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</w:tcPr>
          <w:p w14:paraId="0473A6C5" w14:textId="433B4DFD" w:rsidR="003F0F77" w:rsidRDefault="003F0F77">
            <w:r>
              <w:t>A kurzus megnevezése:</w:t>
            </w:r>
            <w:r w:rsidR="00124E2E">
              <w:t xml:space="preserve"> </w:t>
            </w:r>
            <w:r w:rsidR="002D3922">
              <w:t>Arisztotelész</w:t>
            </w:r>
            <w:r w:rsidR="00377769">
              <w:t xml:space="preserve"> cselekvéselmélete (</w:t>
            </w:r>
            <w:r w:rsidR="002D3922" w:rsidRPr="00D202CB">
              <w:rPr>
                <w:i/>
                <w:iCs/>
              </w:rPr>
              <w:t>Az állatok mozgásáról</w:t>
            </w:r>
            <w:r w:rsidR="00377769">
              <w:t>)</w:t>
            </w:r>
          </w:p>
        </w:tc>
      </w:tr>
      <w:tr w:rsidR="00811770" w14:paraId="1D254E53" w14:textId="77777777" w:rsidTr="002D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</w:tcPr>
          <w:p w14:paraId="31C63D2A" w14:textId="5CDBDB75" w:rsidR="00811770" w:rsidRDefault="00811770">
            <w:r>
              <w:t xml:space="preserve">A kurzus címe angolul: </w:t>
            </w:r>
            <w:r w:rsidR="002D3922">
              <w:t xml:space="preserve">Aristotle’s </w:t>
            </w:r>
            <w:r w:rsidR="00377769">
              <w:t>theory of action (</w:t>
            </w:r>
            <w:r w:rsidR="002D3922" w:rsidRPr="00D202CB">
              <w:rPr>
                <w:i/>
                <w:iCs/>
              </w:rPr>
              <w:t>De motu animalium</w:t>
            </w:r>
            <w:r w:rsidR="00377769">
              <w:t>)</w:t>
            </w:r>
          </w:p>
        </w:tc>
      </w:tr>
      <w:tr w:rsidR="003F0F77" w14:paraId="1CCFCD0E" w14:textId="77777777" w:rsidTr="002D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</w:tcPr>
          <w:p w14:paraId="7AEE235E" w14:textId="77777777" w:rsidR="003F0F77" w:rsidRDefault="003F0F77">
            <w:r>
              <w:t>A kurzus előadója:</w:t>
            </w:r>
            <w:r w:rsidR="00124E2E">
              <w:t xml:space="preserve"> Bene László </w:t>
            </w:r>
            <w:r w:rsidR="009A024F">
              <w:t>doc</w:t>
            </w:r>
            <w:r w:rsidR="00124E2E">
              <w:t>.</w:t>
            </w:r>
          </w:p>
        </w:tc>
      </w:tr>
      <w:tr w:rsidR="00A42C39" w14:paraId="377A6959" w14:textId="77777777" w:rsidTr="002D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</w:tcPr>
          <w:p w14:paraId="3E03EBD0" w14:textId="43CA955F" w:rsidR="00A42C39" w:rsidRDefault="00A42C39">
            <w:r>
              <w:t>A kurzus helye és ideje: MÚK 4/i, I. em. 129; szerda 10.00-11.30</w:t>
            </w:r>
          </w:p>
        </w:tc>
      </w:tr>
    </w:tbl>
    <w:p w14:paraId="18EDB797" w14:textId="77777777" w:rsidR="003F0F77" w:rsidRDefault="003F0F77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F0F77" w14:paraId="534BC8D9" w14:textId="77777777">
        <w:tc>
          <w:tcPr>
            <w:tcW w:w="9212" w:type="dxa"/>
          </w:tcPr>
          <w:p w14:paraId="72A8DDA4" w14:textId="77777777" w:rsidR="003F0F77" w:rsidRDefault="003F0F77">
            <w:r>
              <w:t>A kurzus előfeltétele(i):</w:t>
            </w:r>
          </w:p>
        </w:tc>
      </w:tr>
      <w:tr w:rsidR="003F0F77" w14:paraId="4A7566DC" w14:textId="77777777">
        <w:tc>
          <w:tcPr>
            <w:tcW w:w="9212" w:type="dxa"/>
          </w:tcPr>
          <w:p w14:paraId="1D6518CE" w14:textId="7BB10846" w:rsidR="003F0F77" w:rsidRDefault="003F0F77" w:rsidP="007531BF">
            <w:r>
              <w:t>A jegyszerzés módja(i):</w:t>
            </w:r>
            <w:r w:rsidR="00451735">
              <w:t xml:space="preserve"> órai munka </w:t>
            </w:r>
            <w:r w:rsidR="00D202CB">
              <w:t>3</w:t>
            </w:r>
            <w:r w:rsidR="00451735">
              <w:t>0%</w:t>
            </w:r>
            <w:r w:rsidR="00D202CB">
              <w:t xml:space="preserve"> + referátum 30% + szemináriumi dolgozat 40%</w:t>
            </w:r>
          </w:p>
        </w:tc>
      </w:tr>
      <w:tr w:rsidR="003F0F77" w14:paraId="04448E08" w14:textId="77777777">
        <w:tc>
          <w:tcPr>
            <w:tcW w:w="9212" w:type="dxa"/>
          </w:tcPr>
          <w:p w14:paraId="2DD9D1CA" w14:textId="1E0B3ADB" w:rsidR="004213BF" w:rsidRDefault="003F0F77" w:rsidP="00FC5E7F">
            <w:pPr>
              <w:jc w:val="both"/>
            </w:pPr>
            <w:r>
              <w:t>Követelmények:</w:t>
            </w:r>
            <w:r w:rsidR="00124E2E">
              <w:t xml:space="preserve"> </w:t>
            </w:r>
          </w:p>
          <w:p w14:paraId="4A218E31" w14:textId="77777777" w:rsidR="004E25EF" w:rsidRDefault="00F34F0D" w:rsidP="00451735">
            <w:pPr>
              <w:jc w:val="both"/>
            </w:pPr>
            <w:r>
              <w:t xml:space="preserve">Az óra látogatásköteles, max. 3 hiányzás engedélyezett. </w:t>
            </w:r>
            <w:r w:rsidR="00D202CB">
              <w:t xml:space="preserve">1) A forrásszöveg kijelölt részéből minden résztvevő óráról-órára felkészül, és aktívan részt vesz a szövegrész megbeszélésében. 2) Referátum: a forrásszöveg egy fejezetének ismertetése, valamelyik kommentár felhasználásával, vagy beszámoló valamilyen egyéb, az oktatóval egyeztetett szakirodalmii tételről. 3) Szemináriumi dolgozat: </w:t>
            </w:r>
            <w:r w:rsidR="00130D2A">
              <w:t>BA hallgatók 7, MA hallgatók 10 oldal terjedelemben készítenek szemináriumi dolgozatot a szöveg által felvetett valamely filozófiai kérdésről, esetkeg a mű összefüggéseiről az arisztotelészi filozófia egyéb részeivel. A témát október közepéig egyeztetni kell az oktatóval. A dolgozat leadási határideje a vizsgaidőszak első hetének pénteki napja.</w:t>
            </w:r>
          </w:p>
          <w:p w14:paraId="5F6533ED" w14:textId="77777777" w:rsidR="0088601F" w:rsidRDefault="0088601F" w:rsidP="00451735">
            <w:pPr>
              <w:jc w:val="both"/>
            </w:pPr>
          </w:p>
          <w:p w14:paraId="14F7DF77" w14:textId="13A1ADD0" w:rsidR="0088601F" w:rsidRPr="00866A3D" w:rsidRDefault="0088601F" w:rsidP="00451735">
            <w:pPr>
              <w:jc w:val="both"/>
              <w:rPr>
                <w:b/>
                <w:bCs/>
              </w:rPr>
            </w:pPr>
            <w:r w:rsidRPr="00866A3D">
              <w:rPr>
                <w:b/>
                <w:bCs/>
              </w:rPr>
              <w:t>A résztvevőknek angolul vagy más idegen nyelven (német vagy francia) gördülékenyen kell tudniuk szakirodalmat olvasni.</w:t>
            </w:r>
          </w:p>
        </w:tc>
      </w:tr>
    </w:tbl>
    <w:p w14:paraId="55098C6A" w14:textId="77777777" w:rsidR="003F0F77" w:rsidRDefault="003F0F77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F0F77" w14:paraId="1A5D4953" w14:textId="77777777">
        <w:tc>
          <w:tcPr>
            <w:tcW w:w="9212" w:type="dxa"/>
          </w:tcPr>
          <w:p w14:paraId="6A5CB198" w14:textId="77777777" w:rsidR="003F0F77" w:rsidRDefault="003F0F77">
            <w:r>
              <w:t>A kurzus leírása, tematikája:</w:t>
            </w:r>
          </w:p>
          <w:p w14:paraId="0116146D" w14:textId="7ADA126D" w:rsidR="00417F7F" w:rsidRDefault="00417F7F" w:rsidP="00803AA8">
            <w:pPr>
              <w:jc w:val="both"/>
              <w:rPr>
                <w:b/>
                <w:bCs/>
              </w:rPr>
            </w:pPr>
          </w:p>
          <w:p w14:paraId="1A8F7A02" w14:textId="233FA596" w:rsidR="00377769" w:rsidRPr="00377769" w:rsidRDefault="00377769" w:rsidP="00803AA8">
            <w:pPr>
              <w:jc w:val="both"/>
            </w:pPr>
            <w:r w:rsidRPr="00377769">
              <w:t xml:space="preserve">A </w:t>
            </w:r>
            <w:r>
              <w:t xml:space="preserve">szemináriumon Arisztotelész </w:t>
            </w:r>
            <w:r w:rsidRPr="00F34F0D">
              <w:rPr>
                <w:i/>
                <w:iCs/>
              </w:rPr>
              <w:t>Az állatok mozgásáról</w:t>
            </w:r>
            <w:r>
              <w:t xml:space="preserve"> </w:t>
            </w:r>
            <w:r w:rsidR="00F34F0D">
              <w:t>(</w:t>
            </w:r>
            <w:r w:rsidR="00F34F0D" w:rsidRPr="00F34F0D">
              <w:rPr>
                <w:i/>
                <w:iCs/>
              </w:rPr>
              <w:t>De motu animalium</w:t>
            </w:r>
            <w:r w:rsidR="00F34F0D">
              <w:t xml:space="preserve">) </w:t>
            </w:r>
            <w:r>
              <w:t xml:space="preserve">című művét elemezzük, </w:t>
            </w:r>
            <w:r w:rsidR="00E960B2">
              <w:t xml:space="preserve">általam készített </w:t>
            </w:r>
            <w:r>
              <w:t xml:space="preserve">új magyar fordításának szövege alapján. </w:t>
            </w:r>
          </w:p>
          <w:p w14:paraId="2C1314B8" w14:textId="77777777" w:rsidR="00377769" w:rsidRDefault="00377769" w:rsidP="00803AA8">
            <w:pPr>
              <w:jc w:val="both"/>
              <w:rPr>
                <w:b/>
                <w:bCs/>
              </w:rPr>
            </w:pPr>
          </w:p>
          <w:p w14:paraId="56649EC4" w14:textId="1C752844" w:rsidR="00E960B2" w:rsidRDefault="00E960B2" w:rsidP="00803AA8">
            <w:pPr>
              <w:jc w:val="both"/>
            </w:pPr>
            <w:r w:rsidRPr="00E960B2">
              <w:rPr>
                <w:i/>
                <w:iCs/>
              </w:rPr>
              <w:t>Az állatok mozgásáról</w:t>
            </w:r>
            <w:r>
              <w:t xml:space="preserve"> címe alapján specializál</w:t>
            </w:r>
            <w:r w:rsidR="00F34F0D">
              <w:t>t</w:t>
            </w:r>
            <w:r>
              <w:t xml:space="preserve"> témát dolgoz fel, mely kevesek érdeklődésére tarthat számot. Valójában az értekezés </w:t>
            </w:r>
            <w:r w:rsidR="00130D2A">
              <w:t xml:space="preserve">mind </w:t>
            </w:r>
            <w:r>
              <w:t>tematikáj</w:t>
            </w:r>
            <w:r w:rsidR="00130D2A">
              <w:t xml:space="preserve">át, mind </w:t>
            </w:r>
            <w:r>
              <w:t>tárgyalási módj</w:t>
            </w:r>
            <w:r w:rsidR="00130D2A">
              <w:t xml:space="preserve">át tekintve </w:t>
            </w:r>
            <w:r>
              <w:t xml:space="preserve">szerteágazó, és filozófiailag alapvető kérdésekhez vezet el. Platón több dialógusában is </w:t>
            </w:r>
            <w:r w:rsidR="00DF6E83">
              <w:t>az önmozgó lelket teszi meg minden mozgás princípiumának. Arisztotelész egyszerre kritizálja és fejleszti tovább ezt az elemzést: érvelése szerint az önmozgó nem a lélek, hanem az élőlény, melyben – többféle módon is</w:t>
            </w:r>
            <w:r>
              <w:t xml:space="preserve"> </w:t>
            </w:r>
            <w:r w:rsidR="00DF6E83">
              <w:t>– megkülönböztethetünk egy mozgató és egy mozgatott aspektust, a mozgás végső kiindulópontja pedig szükségképpen mozdulatlan. Ezt az elemzést kozmológiai, biológiai, lélekfilozófiai és cselekvéselméleti-etikai összefüggésben egyaránt alkalmazza. A mindenség mozgásáért végső soron egy mozdulatlan mozgató felelős; az élőlények mozgását egy, a reprezentációs képesség által megjelenített tárgy okozza, mely nem mechanikusan, hanem a vágy vagy törekvés tárgyaként generál mozgást. A reprezentációs készség és a törekvőképesség kettősségén nyugvó elemzés az állati viselkedés</w:t>
            </w:r>
            <w:r w:rsidR="00130D2A">
              <w:t>t</w:t>
            </w:r>
            <w:r w:rsidR="00DF6E83">
              <w:t xml:space="preserve"> és az emberi cselekvés</w:t>
            </w:r>
            <w:r w:rsidR="00130D2A">
              <w:t>t</w:t>
            </w:r>
            <w:r w:rsidR="00DF6E83">
              <w:t xml:space="preserve"> is </w:t>
            </w:r>
            <w:r w:rsidR="00130D2A">
              <w:t>leírhatja</w:t>
            </w:r>
            <w:r w:rsidR="00DF6E83">
              <w:t xml:space="preserve">. Arisztotelész a mozgás/cselekvés magyarázatára egy általános magyarázó modellt </w:t>
            </w:r>
            <w:r w:rsidR="00F34F0D">
              <w:t xml:space="preserve">vezet be, </w:t>
            </w:r>
            <w:r w:rsidR="00DF6E83">
              <w:t>a praktikus szillogizmus modelljét</w:t>
            </w:r>
            <w:r w:rsidR="00473646">
              <w:t>, melyben a felső premissza valamilyen vágynak, az alsó premissza a cselekvés valamilyen releváns körülményének felel meg</w:t>
            </w:r>
            <w:r w:rsidR="00DF6E83">
              <w:t>.</w:t>
            </w:r>
            <w:r w:rsidR="00473646">
              <w:t xml:space="preserve"> Arisztotelész megkísérel arra is magyarázatot adni, miképp mozgatják a testet a lelki működések.</w:t>
            </w:r>
            <w:r w:rsidR="00DF6E83">
              <w:t xml:space="preserve">   </w:t>
            </w:r>
          </w:p>
          <w:p w14:paraId="3EABE1B2" w14:textId="77777777" w:rsidR="00E960B2" w:rsidRPr="00E960B2" w:rsidRDefault="00E960B2" w:rsidP="00803AA8">
            <w:pPr>
              <w:jc w:val="both"/>
            </w:pPr>
          </w:p>
          <w:p w14:paraId="10CEB29A" w14:textId="404D21A3" w:rsidR="00377769" w:rsidRPr="00313CEB" w:rsidRDefault="00313CEB" w:rsidP="00803AA8">
            <w:pPr>
              <w:jc w:val="both"/>
            </w:pPr>
            <w:r w:rsidRPr="00313CEB">
              <w:lastRenderedPageBreak/>
              <w:t>A</w:t>
            </w:r>
            <w:r w:rsidR="00E36E11">
              <w:t xml:space="preserve"> kurzus kutatószeminárium, melyen a szöveg egyes szakaszai szerint haladva, </w:t>
            </w:r>
            <w:r w:rsidR="00F34F0D">
              <w:t xml:space="preserve">a mű alapvető kommentárjait forgatva, </w:t>
            </w:r>
            <w:r w:rsidR="00E36E11">
              <w:t>olykor szakirodalmi tételeket is megvitatva mélyedünk el a témában. A</w:t>
            </w:r>
            <w:r w:rsidRPr="00313CEB">
              <w:t>z ór</w:t>
            </w:r>
            <w:r w:rsidR="00E36E11">
              <w:t>a egyik célja, hogy az új fordítást korrigáljam</w:t>
            </w:r>
            <w:r w:rsidR="00F34F0D">
              <w:t xml:space="preserve"> </w:t>
            </w:r>
            <w:r w:rsidR="00E36E11">
              <w:t xml:space="preserve">a téma iránt érdeklődő hallgatók </w:t>
            </w:r>
            <w:r w:rsidR="00F34F0D">
              <w:t>reakciói, kérdései, felvetései alapján. (Görög nyelvtudás nem szükséges: annak kell kiderülnie, miként működik a fordítás a magyar filozófiai nyelv közegénben.)</w:t>
            </w:r>
          </w:p>
          <w:p w14:paraId="26A24F7B" w14:textId="77777777" w:rsidR="00313CEB" w:rsidRDefault="00313CEB" w:rsidP="00803AA8">
            <w:pPr>
              <w:jc w:val="both"/>
            </w:pPr>
          </w:p>
          <w:p w14:paraId="7C8BCDA6" w14:textId="0FB48149" w:rsidR="003F0F77" w:rsidRDefault="00313CEB" w:rsidP="00F34F0D">
            <w:pPr>
              <w:jc w:val="both"/>
            </w:pPr>
            <w:r w:rsidRPr="00F34F0D">
              <w:rPr>
                <w:b/>
                <w:bCs/>
              </w:rPr>
              <w:t xml:space="preserve">Figyelem! </w:t>
            </w:r>
            <w:r w:rsidR="0090737C" w:rsidRPr="00F34F0D">
              <w:rPr>
                <w:b/>
                <w:bCs/>
              </w:rPr>
              <w:t xml:space="preserve">A szeminárium </w:t>
            </w:r>
            <w:r w:rsidR="0088601F">
              <w:rPr>
                <w:b/>
                <w:bCs/>
              </w:rPr>
              <w:t xml:space="preserve">önmagában </w:t>
            </w:r>
            <w:r w:rsidRPr="00F34F0D">
              <w:rPr>
                <w:b/>
                <w:bCs/>
              </w:rPr>
              <w:t>nem készít fel a</w:t>
            </w:r>
            <w:r w:rsidR="0090737C" w:rsidRPr="00F34F0D">
              <w:rPr>
                <w:b/>
                <w:bCs/>
              </w:rPr>
              <w:t xml:space="preserve"> Filozófiatörténet 2. vizsgára</w:t>
            </w:r>
            <w:r w:rsidRPr="00F34F0D">
              <w:rPr>
                <w:b/>
                <w:bCs/>
              </w:rPr>
              <w:t xml:space="preserve">. Az értekezés nem része a vizsgaanyagnak. Ugyanakkor sajátos szögből bepillantást enged Arisztotelész természetfilozófiájának, lélekfilozófiájának, </w:t>
            </w:r>
            <w:r w:rsidR="00E36E11" w:rsidRPr="00F34F0D">
              <w:rPr>
                <w:b/>
                <w:bCs/>
              </w:rPr>
              <w:t>metafizikájának és etikájának</w:t>
            </w:r>
            <w:r w:rsidRPr="00F34F0D">
              <w:rPr>
                <w:b/>
                <w:bCs/>
              </w:rPr>
              <w:t xml:space="preserve"> </w:t>
            </w:r>
            <w:r w:rsidR="00E36E11" w:rsidRPr="00F34F0D">
              <w:rPr>
                <w:b/>
                <w:bCs/>
              </w:rPr>
              <w:t>elveibe, ezért önálló munkára képes, a téma iránt érdeklődő, vállalkozó kedvű hallgatók Filozófiatörténet 2 szemináriumként is elvégezhetik.</w:t>
            </w:r>
            <w:r w:rsidR="00E36E11">
              <w:t xml:space="preserve"> (</w:t>
            </w:r>
            <w:r w:rsidR="00866A3D">
              <w:t>E félévben átfogó</w:t>
            </w:r>
            <w:r w:rsidR="00E36E11">
              <w:t>, a vizsgaanyag jelentős részét lefedő Filozófiatört</w:t>
            </w:r>
            <w:r w:rsidR="00130D2A">
              <w:t>é</w:t>
            </w:r>
            <w:r w:rsidR="00E36E11">
              <w:t>net 2 szeminárium</w:t>
            </w:r>
            <w:r w:rsidR="00866A3D">
              <w:t>ot, angolul tartok; következő félévben a tanszék hirdetni fog magyar nyelvű, reguláris Fil</w:t>
            </w:r>
            <w:r w:rsidR="00E36E11">
              <w:t>.</w:t>
            </w:r>
            <w:r w:rsidR="00866A3D">
              <w:t xml:space="preserve"> tört. 2 szemináriumot.</w:t>
            </w:r>
            <w:r w:rsidR="00E36E11">
              <w:t xml:space="preserve">) </w:t>
            </w:r>
          </w:p>
        </w:tc>
      </w:tr>
    </w:tbl>
    <w:p w14:paraId="07D2BDE9" w14:textId="77777777" w:rsidR="003F0F77" w:rsidRDefault="003F0F77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F0F77" w14:paraId="7AB6C34C" w14:textId="77777777">
        <w:tc>
          <w:tcPr>
            <w:tcW w:w="9212" w:type="dxa"/>
          </w:tcPr>
          <w:p w14:paraId="3ACC556F" w14:textId="2D4B86D4" w:rsidR="003F0F77" w:rsidRPr="00F34F0D" w:rsidRDefault="00B01AD4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F0F77" w:rsidRPr="00F34F0D">
              <w:rPr>
                <w:b/>
                <w:bCs/>
              </w:rPr>
              <w:t>rodalom:</w:t>
            </w:r>
          </w:p>
          <w:p w14:paraId="4BF6493B" w14:textId="77777777" w:rsidR="0033328B" w:rsidRDefault="0033328B"/>
          <w:p w14:paraId="1358AC64" w14:textId="77777777" w:rsidR="0088601F" w:rsidRDefault="0088601F" w:rsidP="0088601F">
            <w:r w:rsidRPr="0088601F">
              <w:rPr>
                <w:i/>
                <w:iCs/>
              </w:rPr>
              <w:t>Aristotle’s De Motu Animalium</w:t>
            </w:r>
            <w:r>
              <w:t>. Text with Translation, Commentary, and Interpretive Essays by Martha Craven Nussbaum. Princeton University Press, 1978/1985/2020.</w:t>
            </w:r>
          </w:p>
          <w:p w14:paraId="0D843BDB" w14:textId="77777777" w:rsidR="0088601F" w:rsidRDefault="0088601F" w:rsidP="0088601F"/>
          <w:p w14:paraId="63ECEC22" w14:textId="4BDA3731" w:rsidR="0088601F" w:rsidRDefault="0088601F" w:rsidP="0088601F">
            <w:r w:rsidRPr="0058518B">
              <w:t>Aristotle, </w:t>
            </w:r>
            <w:r w:rsidRPr="0058518B">
              <w:rPr>
                <w:i/>
                <w:iCs/>
              </w:rPr>
              <w:t>De Motu Animalium</w:t>
            </w:r>
            <w:r w:rsidRPr="0058518B">
              <w:t>: </w:t>
            </w:r>
            <w:r w:rsidRPr="0058518B">
              <w:rPr>
                <w:i/>
                <w:iCs/>
              </w:rPr>
              <w:t>a new critical edition of the Greek text</w:t>
            </w:r>
            <w:r w:rsidRPr="0058518B">
              <w:t> by Oliver Primavesi, with an English translation by Ben Morison, and an Introduction by Christof Rapp and Oliver Primavesi, Oxford University Press, 2023</w:t>
            </w:r>
            <w:r>
              <w:t>.</w:t>
            </w:r>
          </w:p>
          <w:p w14:paraId="1055C1FD" w14:textId="77777777" w:rsidR="0088601F" w:rsidRDefault="0088601F" w:rsidP="0088601F"/>
          <w:p w14:paraId="6B90A4DF" w14:textId="77777777" w:rsidR="0088601F" w:rsidRPr="003807DC" w:rsidRDefault="0088601F" w:rsidP="0088601F">
            <w:r w:rsidRPr="0088601F">
              <w:rPr>
                <w:i/>
                <w:iCs/>
              </w:rPr>
              <w:t>Aristote. Le Mouvement des animaux</w:t>
            </w:r>
            <w:r w:rsidRPr="00D36D94">
              <w:t xml:space="preserve">, suivi de </w:t>
            </w:r>
            <w:r w:rsidRPr="0088601F">
              <w:rPr>
                <w:i/>
                <w:iCs/>
              </w:rPr>
              <w:t>La Locomotion des animaux</w:t>
            </w:r>
            <w:r w:rsidRPr="00D36D94">
              <w:t>. Traduction et présentation par Pierre-Marie Morel. Paris</w:t>
            </w:r>
          </w:p>
          <w:p w14:paraId="6528C8A7" w14:textId="77777777" w:rsidR="003F0F77" w:rsidRDefault="003F0F77" w:rsidP="0088601F"/>
          <w:p w14:paraId="65395954" w14:textId="77777777" w:rsidR="0088601F" w:rsidRDefault="0088601F" w:rsidP="0088601F">
            <w:r w:rsidRPr="0088601F">
              <w:t>Corcilius</w:t>
            </w:r>
            <w:r>
              <w:t xml:space="preserve">, </w:t>
            </w:r>
            <w:r w:rsidRPr="0088601F">
              <w:t>Klaus</w:t>
            </w:r>
            <w:r>
              <w:t>:</w:t>
            </w:r>
            <w:r w:rsidRPr="0088601F">
              <w:t xml:space="preserve"> </w:t>
            </w:r>
            <w:r w:rsidRPr="0088601F">
              <w:rPr>
                <w:i/>
                <w:iCs/>
              </w:rPr>
              <w:t>Streben und Bewegen. Aristoteles</w:t>
            </w:r>
            <w:r w:rsidRPr="0088601F">
              <w:rPr>
                <w:rFonts w:hint="eastAsia"/>
                <w:i/>
                <w:iCs/>
              </w:rPr>
              <w:t>’</w:t>
            </w:r>
            <w:r w:rsidRPr="0088601F">
              <w:rPr>
                <w:i/>
                <w:iCs/>
              </w:rPr>
              <w:t xml:space="preserve"> Theorie der</w:t>
            </w:r>
            <w:r>
              <w:rPr>
                <w:i/>
                <w:iCs/>
              </w:rPr>
              <w:t xml:space="preserve"> </w:t>
            </w:r>
            <w:r w:rsidRPr="0088601F">
              <w:rPr>
                <w:i/>
                <w:iCs/>
              </w:rPr>
              <w:t>animalischen Ortsbewegung</w:t>
            </w:r>
            <w:r w:rsidRPr="0088601F">
              <w:t>. Quellen und Studien zur Philosophie 79.</w:t>
            </w:r>
            <w:r>
              <w:rPr>
                <w:i/>
                <w:iCs/>
              </w:rPr>
              <w:t xml:space="preserve"> </w:t>
            </w:r>
            <w:r w:rsidRPr="0088601F">
              <w:t>Berlin/New York.</w:t>
            </w:r>
          </w:p>
          <w:p w14:paraId="0B2AD0D5" w14:textId="77777777" w:rsidR="00D568E1" w:rsidRDefault="00D568E1" w:rsidP="0088601F"/>
          <w:p w14:paraId="04A64BCE" w14:textId="1AD0815F" w:rsidR="00A36A01" w:rsidRPr="0088601F" w:rsidRDefault="00A36A01" w:rsidP="0088601F">
            <w:pPr>
              <w:rPr>
                <w:i/>
                <w:iCs/>
              </w:rPr>
            </w:pPr>
            <w:r w:rsidRPr="00A36A01">
              <w:t>Rapp, Christof – Primavesi, Oliver (editors):</w:t>
            </w:r>
            <w:r>
              <w:rPr>
                <w:i/>
                <w:iCs/>
              </w:rPr>
              <w:t xml:space="preserve"> </w:t>
            </w:r>
            <w:r w:rsidRPr="00A36A01">
              <w:rPr>
                <w:i/>
                <w:iCs/>
              </w:rPr>
              <w:t>Aristotle's De motu animalium: Symposium Aristotelicum</w:t>
            </w:r>
            <w:r>
              <w:t>. Oxford University Press, 2020.</w:t>
            </w:r>
          </w:p>
        </w:tc>
      </w:tr>
    </w:tbl>
    <w:p w14:paraId="13128138" w14:textId="77777777" w:rsidR="003F0F77" w:rsidRDefault="003F0F77" w:rsidP="00855CF9">
      <w:pPr>
        <w:rPr>
          <w:color w:val="0000FF"/>
        </w:rPr>
      </w:pPr>
    </w:p>
    <w:p w14:paraId="47F4089A" w14:textId="77777777" w:rsidR="00B25ABF" w:rsidRDefault="00B25ABF" w:rsidP="00855CF9">
      <w:pPr>
        <w:rPr>
          <w:color w:val="0000FF"/>
        </w:rPr>
      </w:pPr>
    </w:p>
    <w:sectPr w:rsidR="00B25ABF" w:rsidSect="0059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3D24" w14:textId="77777777" w:rsidR="00501F58" w:rsidRDefault="00501F58" w:rsidP="002D3922">
      <w:r>
        <w:separator/>
      </w:r>
    </w:p>
  </w:endnote>
  <w:endnote w:type="continuationSeparator" w:id="0">
    <w:p w14:paraId="71CC90F4" w14:textId="77777777" w:rsidR="00501F58" w:rsidRDefault="00501F58" w:rsidP="002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8A47" w14:textId="77777777" w:rsidR="00501F58" w:rsidRDefault="00501F58" w:rsidP="002D3922">
      <w:r>
        <w:separator/>
      </w:r>
    </w:p>
  </w:footnote>
  <w:footnote w:type="continuationSeparator" w:id="0">
    <w:p w14:paraId="4FB36231" w14:textId="77777777" w:rsidR="00501F58" w:rsidRDefault="00501F58" w:rsidP="002D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014"/>
    <w:multiLevelType w:val="hybridMultilevel"/>
    <w:tmpl w:val="79D0B9CC"/>
    <w:lvl w:ilvl="0" w:tplc="32CAD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7BC6"/>
    <w:multiLevelType w:val="hybridMultilevel"/>
    <w:tmpl w:val="CCE28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0716542">
    <w:abstractNumId w:val="0"/>
  </w:num>
  <w:num w:numId="2" w16cid:durableId="1903565665">
    <w:abstractNumId w:val="2"/>
  </w:num>
  <w:num w:numId="3" w16cid:durableId="27780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BE"/>
    <w:rsid w:val="000036EB"/>
    <w:rsid w:val="0002621B"/>
    <w:rsid w:val="00065BA7"/>
    <w:rsid w:val="00081BF0"/>
    <w:rsid w:val="0009736D"/>
    <w:rsid w:val="000A39E1"/>
    <w:rsid w:val="000A63BE"/>
    <w:rsid w:val="000E7F6A"/>
    <w:rsid w:val="001165C6"/>
    <w:rsid w:val="00124E2E"/>
    <w:rsid w:val="00130D2A"/>
    <w:rsid w:val="00131071"/>
    <w:rsid w:val="001678FF"/>
    <w:rsid w:val="00183DBC"/>
    <w:rsid w:val="001A1906"/>
    <w:rsid w:val="001D485B"/>
    <w:rsid w:val="001E4C03"/>
    <w:rsid w:val="00204CBE"/>
    <w:rsid w:val="00220DCD"/>
    <w:rsid w:val="00240A50"/>
    <w:rsid w:val="0026522F"/>
    <w:rsid w:val="002A4FFD"/>
    <w:rsid w:val="002D3922"/>
    <w:rsid w:val="002E70E4"/>
    <w:rsid w:val="00307B47"/>
    <w:rsid w:val="00313CEB"/>
    <w:rsid w:val="003211E0"/>
    <w:rsid w:val="0033328B"/>
    <w:rsid w:val="00341D36"/>
    <w:rsid w:val="00347040"/>
    <w:rsid w:val="00377769"/>
    <w:rsid w:val="00382D2A"/>
    <w:rsid w:val="003C5D39"/>
    <w:rsid w:val="003C7D83"/>
    <w:rsid w:val="003E57F4"/>
    <w:rsid w:val="003E7AD9"/>
    <w:rsid w:val="003F0F77"/>
    <w:rsid w:val="0040249B"/>
    <w:rsid w:val="004051A3"/>
    <w:rsid w:val="00413447"/>
    <w:rsid w:val="00417F7F"/>
    <w:rsid w:val="004213BF"/>
    <w:rsid w:val="0042584E"/>
    <w:rsid w:val="00447846"/>
    <w:rsid w:val="00451735"/>
    <w:rsid w:val="0045405E"/>
    <w:rsid w:val="00460D88"/>
    <w:rsid w:val="00462D7D"/>
    <w:rsid w:val="00473646"/>
    <w:rsid w:val="00474E2B"/>
    <w:rsid w:val="00492E4D"/>
    <w:rsid w:val="00493A96"/>
    <w:rsid w:val="004B5CE0"/>
    <w:rsid w:val="004C180E"/>
    <w:rsid w:val="004E25EF"/>
    <w:rsid w:val="004E2B66"/>
    <w:rsid w:val="004F52F4"/>
    <w:rsid w:val="00501F58"/>
    <w:rsid w:val="00512BA2"/>
    <w:rsid w:val="00513BDA"/>
    <w:rsid w:val="005305EF"/>
    <w:rsid w:val="00541232"/>
    <w:rsid w:val="00541345"/>
    <w:rsid w:val="00575DF0"/>
    <w:rsid w:val="0058518B"/>
    <w:rsid w:val="00596A80"/>
    <w:rsid w:val="005B5A47"/>
    <w:rsid w:val="005C3D50"/>
    <w:rsid w:val="005C7E55"/>
    <w:rsid w:val="005F35BE"/>
    <w:rsid w:val="00633972"/>
    <w:rsid w:val="006A4188"/>
    <w:rsid w:val="006C082B"/>
    <w:rsid w:val="006F1EB5"/>
    <w:rsid w:val="00723BA9"/>
    <w:rsid w:val="0073786C"/>
    <w:rsid w:val="0075101E"/>
    <w:rsid w:val="007531BF"/>
    <w:rsid w:val="0075578F"/>
    <w:rsid w:val="00763C37"/>
    <w:rsid w:val="007D7D77"/>
    <w:rsid w:val="00803AA8"/>
    <w:rsid w:val="00811770"/>
    <w:rsid w:val="0081297A"/>
    <w:rsid w:val="00813157"/>
    <w:rsid w:val="00855CF9"/>
    <w:rsid w:val="00866A3D"/>
    <w:rsid w:val="00880B3A"/>
    <w:rsid w:val="0088601F"/>
    <w:rsid w:val="0088700D"/>
    <w:rsid w:val="008B7B85"/>
    <w:rsid w:val="008C2066"/>
    <w:rsid w:val="008D0080"/>
    <w:rsid w:val="008E735F"/>
    <w:rsid w:val="0090737C"/>
    <w:rsid w:val="00941D54"/>
    <w:rsid w:val="00943624"/>
    <w:rsid w:val="00960467"/>
    <w:rsid w:val="00981988"/>
    <w:rsid w:val="009A024F"/>
    <w:rsid w:val="009B4C9F"/>
    <w:rsid w:val="009F5FD3"/>
    <w:rsid w:val="009F693C"/>
    <w:rsid w:val="009F7369"/>
    <w:rsid w:val="00A05C19"/>
    <w:rsid w:val="00A3385D"/>
    <w:rsid w:val="00A36A01"/>
    <w:rsid w:val="00A42C39"/>
    <w:rsid w:val="00A974B1"/>
    <w:rsid w:val="00AE03AF"/>
    <w:rsid w:val="00AE41BC"/>
    <w:rsid w:val="00B01AD4"/>
    <w:rsid w:val="00B02DFC"/>
    <w:rsid w:val="00B15F32"/>
    <w:rsid w:val="00B21B6A"/>
    <w:rsid w:val="00B25ABF"/>
    <w:rsid w:val="00BB2787"/>
    <w:rsid w:val="00BB33B3"/>
    <w:rsid w:val="00BC407A"/>
    <w:rsid w:val="00BD4AF1"/>
    <w:rsid w:val="00BE2431"/>
    <w:rsid w:val="00C15AFA"/>
    <w:rsid w:val="00C37561"/>
    <w:rsid w:val="00CB4B8D"/>
    <w:rsid w:val="00CF308D"/>
    <w:rsid w:val="00CF4668"/>
    <w:rsid w:val="00D02868"/>
    <w:rsid w:val="00D1151D"/>
    <w:rsid w:val="00D117C6"/>
    <w:rsid w:val="00D202CB"/>
    <w:rsid w:val="00D36D94"/>
    <w:rsid w:val="00D411BC"/>
    <w:rsid w:val="00D568E1"/>
    <w:rsid w:val="00D71136"/>
    <w:rsid w:val="00D94211"/>
    <w:rsid w:val="00DB0A9B"/>
    <w:rsid w:val="00DB0C49"/>
    <w:rsid w:val="00DF429E"/>
    <w:rsid w:val="00DF6E83"/>
    <w:rsid w:val="00E139EC"/>
    <w:rsid w:val="00E27925"/>
    <w:rsid w:val="00E36E11"/>
    <w:rsid w:val="00E53138"/>
    <w:rsid w:val="00E55312"/>
    <w:rsid w:val="00E644AA"/>
    <w:rsid w:val="00E6590D"/>
    <w:rsid w:val="00E75620"/>
    <w:rsid w:val="00E86D31"/>
    <w:rsid w:val="00E95074"/>
    <w:rsid w:val="00E960B2"/>
    <w:rsid w:val="00EE5A48"/>
    <w:rsid w:val="00F23172"/>
    <w:rsid w:val="00F34F0D"/>
    <w:rsid w:val="00F5529E"/>
    <w:rsid w:val="00F85301"/>
    <w:rsid w:val="00FC430A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A02E4"/>
  <w15:docId w15:val="{F9C8E6F3-04AB-41BC-8A29-CF3C47F4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6A80"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3328B"/>
    <w:rPr>
      <w:rFonts w:cs="Times New Roman"/>
      <w:color w:val="0000FF"/>
      <w:u w:val="single"/>
    </w:rPr>
  </w:style>
  <w:style w:type="character" w:styleId="Kiemels">
    <w:name w:val="Emphasis"/>
    <w:basedOn w:val="Bekezdsalapbettpusa"/>
    <w:uiPriority w:val="99"/>
    <w:qFormat/>
    <w:rsid w:val="00E86D31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492E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39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392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39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3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614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Dr. Bene László</cp:lastModifiedBy>
  <cp:revision>8</cp:revision>
  <dcterms:created xsi:type="dcterms:W3CDTF">2024-08-19T15:05:00Z</dcterms:created>
  <dcterms:modified xsi:type="dcterms:W3CDTF">2024-08-26T16:45:00Z</dcterms:modified>
</cp:coreProperties>
</file>