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media/image1.jpeg" ContentType="image/jpeg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COURSE DESCRIPTIONS</w:t>
      </w:r>
    </w:p>
    <w:p>
      <w:pPr>
        <w:pStyle w:val="NoSpacing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uppressAutoHyphens w:val="true"/>
        <w:spacing w:lineRule="auto" w:line="240" w:before="0" w:after="0"/>
        <w:rPr>
          <w:rFonts w:ascii="Garamond" w:hAnsi="Garamond" w:eastAsia="Times New Roman" w:cs="Garamond"/>
          <w:kern w:val="2"/>
          <w:lang w:eastAsia="hu-HU" w:bidi="hi-IN"/>
        </w:rPr>
      </w:pPr>
      <w:r>
        <w:rPr>
          <w:rFonts w:eastAsia="Times New Roman" w:cs="Garamond" w:ascii="Garamond" w:hAnsi="Garamond"/>
          <w:kern w:val="2"/>
          <w:lang w:eastAsia="hu-HU" w:bidi="hi-IN"/>
        </w:rPr>
      </w:r>
    </w:p>
    <w:tbl>
      <w:tblPr>
        <w:tblW w:w="9210" w:type="dxa"/>
        <w:jc w:val="left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0"/>
      </w:tblGrid>
      <w:tr>
        <w:trPr/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Garamond" w:hAnsi="Garamond" w:cs="Times New Roman"/>
                <w:lang w:val="en-GB"/>
              </w:rPr>
            </w:pPr>
            <w:r>
              <w:rPr>
                <w:rFonts w:cs="Times New Roman" w:ascii="Garamond" w:hAnsi="Garamond"/>
                <w:lang w:val="en-GB"/>
              </w:rPr>
              <w:t>Code</w:t>
            </w:r>
            <w:r>
              <w:rPr>
                <w:rFonts w:cs="Times New Roman" w:ascii="Garamond" w:hAnsi="Garamond"/>
                <w:lang w:val="en-GB"/>
              </w:rPr>
              <w:t>s</w:t>
            </w:r>
            <w:r>
              <w:rPr>
                <w:rFonts w:cs="Times New Roman" w:ascii="Garamond" w:hAnsi="Garamond"/>
                <w:lang w:val="en-GB"/>
              </w:rPr>
              <w:t xml:space="preserve"> of course: </w:t>
            </w:r>
            <w:r>
              <w:rPr>
                <w:rFonts w:ascii="Garamond" w:hAnsi="Garamond"/>
                <w:sz w:val="22"/>
                <w:szCs w:val="22"/>
              </w:rPr>
              <w:t>BMA-LOTD17-208.09, BMI-LOTD17-208E.09, BMA-LOTD-613.09</w:t>
              <w:br/>
              <w:t>BMI-LOTD-613E.09, BMA-FILD-401.117, BBN-FIL-401.133,</w:t>
              <w:br/>
              <w:t>BMA-FILD-391.3, BBN-FIL-315.3</w:t>
            </w:r>
          </w:p>
        </w:tc>
      </w:tr>
      <w:tr>
        <w:trPr/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Garamond" w:hAnsi="Garamond"/>
              </w:rPr>
            </w:pPr>
            <w:r>
              <w:rPr>
                <w:rFonts w:cs="Times New Roman" w:ascii="Garamond" w:hAnsi="Garamond"/>
                <w:lang w:val="en-GB"/>
              </w:rPr>
              <w:t xml:space="preserve">Title of course: </w:t>
            </w:r>
            <w:r>
              <w:rPr>
                <w:rFonts w:ascii="Garamond" w:hAnsi="Garamond"/>
                <w:b/>
                <w:bCs/>
              </w:rPr>
              <w:t>Realist interpretations of quantum theory 2</w:t>
            </w:r>
          </w:p>
        </w:tc>
      </w:tr>
      <w:tr>
        <w:trPr/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Lecturer: </w:t>
            </w:r>
            <w:r>
              <w:rPr>
                <w:rFonts w:ascii="Garamond" w:hAnsi="Garamond"/>
                <w:b/>
                <w:bCs/>
                <w:lang w:val="en-GB"/>
              </w:rPr>
              <w:t>Márton Gömöri</w:t>
            </w:r>
          </w:p>
        </w:tc>
      </w:tr>
      <w:tr>
        <w:trPr/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General aim of the course:</w:t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 xml:space="preserve">The course provides an introduction to the foundations of quantum </w:t>
            </w:r>
            <w:r>
              <w:rPr>
                <w:rFonts w:eastAsia="Times New Roman" w:cs="Times New Roman" w:ascii="Garamond" w:hAnsi="Garamond"/>
                <w:b/>
                <w:color w:val="000000"/>
                <w:kern w:val="2"/>
                <w:sz w:val="22"/>
                <w:szCs w:val="22"/>
                <w:lang w:val="en-GB" w:eastAsia="hu-HU" w:bidi="hi-IN"/>
              </w:rPr>
              <w:t>mechanics</w:t>
            </w: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 xml:space="preserve">, focusing on the prospects of a realistic physical account of quantum phenomena, one in which the notion of observation and observer doesn’t have a fundamental role. </w:t>
            </w:r>
            <w:r>
              <w:rPr>
                <w:rFonts w:eastAsia="Times-Roman" w:cs="Times-Roman" w:ascii="Garamond" w:hAnsi="Garamond"/>
                <w:b/>
                <w:color w:val="000000"/>
                <w:sz w:val="22"/>
                <w:szCs w:val="22"/>
                <w:lang w:val="hu-HU"/>
              </w:rPr>
              <w:t xml:space="preserve">This is a continuation of last semester’s </w:t>
            </w:r>
            <w:r>
              <w:rPr>
                <w:rFonts w:eastAsia="Times-Roman" w:cs="Times-Roman" w:ascii="Garamond" w:hAnsi="Garamond"/>
                <w:b/>
                <w:color w:val="000000"/>
                <w:sz w:val="22"/>
                <w:szCs w:val="22"/>
                <w:lang w:val="en-GB"/>
              </w:rPr>
              <w:t>Realist interpretations of quantum theory</w:t>
            </w:r>
            <w:r>
              <w:rPr>
                <w:rFonts w:eastAsia="Times-Roman" w:cs="Times-Roman" w:ascii="Garamond" w:hAnsi="Garamond"/>
                <w:b/>
                <w:color w:val="000000"/>
                <w:sz w:val="22"/>
                <w:szCs w:val="22"/>
                <w:lang w:val="hu-HU"/>
              </w:rPr>
              <w:t>.</w:t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>Content of the course:</w:t>
            </w:r>
          </w:p>
          <w:p>
            <w:pPr>
              <w:pStyle w:val="Te1e1e1e1ble1e1e1e1zattartalom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>Pilot wave theories</w:t>
            </w:r>
          </w:p>
          <w:p>
            <w:pPr>
              <w:pStyle w:val="Te1e1e1e1ble1e1e1e1zattartalom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>Collapse theories</w:t>
            </w:r>
          </w:p>
          <w:p>
            <w:pPr>
              <w:pStyle w:val="Te1e1e1e1ble1e1e1e1zattartalom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cs="Times New Roman" w:ascii="Garamond" w:hAnsi="Garamond"/>
                <w:b/>
                <w:sz w:val="22"/>
                <w:szCs w:val="22"/>
                <w:lang w:val="en-GB"/>
              </w:rPr>
              <w:t>Many worlds</w:t>
            </w:r>
          </w:p>
          <w:p>
            <w:pPr>
              <w:pStyle w:val="Te1e1e1e1ble1e1e1e1zattartalom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eastAsia="Times-Roman" w:cs="Times New Roman" w:ascii="Garamond" w:hAnsi="Garamond"/>
                <w:b/>
                <w:color w:val="000000"/>
                <w:sz w:val="22"/>
                <w:szCs w:val="22"/>
                <w:lang w:val="en-GB"/>
              </w:rPr>
              <w:t>Quantum probability and quantum logic</w:t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cs="Times New Roman" w:ascii="Garamond" w:hAnsi="Garamond"/>
                <w:sz w:val="22"/>
                <w:szCs w:val="22"/>
                <w:lang w:val="en-GB"/>
              </w:rPr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 xml:space="preserve">Grading criteria, specific requirements: </w:t>
            </w:r>
            <w:r>
              <w:rPr>
                <w:rFonts w:eastAsia="Arial" w:ascii="Garamond" w:hAnsi="Garamond"/>
                <w:sz w:val="22"/>
                <w:szCs w:val="22"/>
                <w:lang w:val="en-US"/>
              </w:rPr>
              <w:t>Oral exam. Required material will vary depending on students’ level of study and background.</w:t>
            </w:r>
          </w:p>
          <w:p>
            <w:pPr>
              <w:pStyle w:val="Te1e1e1e1ble1e1e1e1zattartalom"/>
              <w:widowControl w:val="false"/>
              <w:spacing w:before="0" w:after="0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</w:r>
          </w:p>
          <w:p>
            <w:pPr>
              <w:pStyle w:val="Te1e1e1e1ble1e1e1e1zattartalom"/>
              <w:widowControl w:val="false"/>
              <w:tabs>
                <w:tab w:val="clear" w:pos="708"/>
              </w:tabs>
              <w:spacing w:lineRule="auto" w:line="276" w:before="0" w:after="0"/>
              <w:ind w:hanging="0" w:left="0" w:right="0"/>
              <w:rPr>
                <w:rFonts w:ascii="Garamond" w:hAnsi="Garamond"/>
                <w:sz w:val="22"/>
                <w:szCs w:val="22"/>
              </w:rPr>
            </w:pPr>
            <w:r>
              <w:rPr>
                <w:rFonts w:eastAsia="Arial" w:ascii="Garamond" w:hAnsi="Garamond"/>
                <w:b w:val="false"/>
                <w:bCs w:val="false"/>
                <w:sz w:val="22"/>
                <w:szCs w:val="22"/>
                <w:lang w:val="en-US"/>
              </w:rPr>
              <w:t>Prerequisites:</w:t>
            </w:r>
            <w:r>
              <w:rPr>
                <w:rFonts w:eastAsia="Arial" w:ascii="Garamond" w:hAnsi="Garamond"/>
                <w:b w:val="false"/>
                <w:bCs w:val="false"/>
                <w:sz w:val="22"/>
                <w:szCs w:val="22"/>
                <w:u w:val="none"/>
                <w:lang w:val="en-US"/>
              </w:rPr>
              <w:t xml:space="preserve"> Knowledge of basic physics </w:t>
            </w:r>
            <w:r>
              <w:rPr>
                <w:rFonts w:eastAsia="Arial" w:cs="Calibri" w:ascii="Garamond" w:hAnsi="Garamond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lang w:val="en-US" w:eastAsia="hu-HU" w:bidi="hi-IN"/>
              </w:rPr>
              <w:t>as well as calculus and linear algebra is presupposed, but no knowledge of quantum theory is required.</w:t>
            </w:r>
            <w:r>
              <w:rPr>
                <w:rFonts w:eastAsia="Arial" w:cs="Calibri" w:ascii="Garamond" w:hAnsi="Garamond"/>
                <w:b/>
                <w:bCs w:val="false"/>
                <w:color w:val="000000"/>
                <w:kern w:val="2"/>
                <w:sz w:val="22"/>
                <w:szCs w:val="22"/>
                <w:u w:val="none"/>
                <w:lang w:val="en-GB" w:eastAsia="hu-HU" w:bidi="hi-IN"/>
              </w:rPr>
              <w:t xml:space="preserve"> </w:t>
            </w:r>
            <w:r>
              <w:rPr>
                <w:rFonts w:eastAsia="Times-Roman" w:cs="Times-Roman" w:ascii="Garamond" w:hAnsi="Garamond"/>
                <w:b/>
                <w:bCs w:val="false"/>
                <w:color w:val="000000"/>
                <w:kern w:val="2"/>
                <w:sz w:val="22"/>
                <w:szCs w:val="22"/>
                <w:u w:val="none"/>
                <w:lang w:val="hu-HU" w:eastAsia="hu-HU" w:bidi="hi-IN"/>
              </w:rPr>
              <w:t>Attendance in first semester is presupposed.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Required reading: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Style w:val="StrongEmphasis"/>
                <w:rFonts w:ascii="Garamond" w:hAnsi="Garamond"/>
                <w:b/>
                <w:lang w:val="en-GB"/>
              </w:rPr>
              <w:t xml:space="preserve">Tim Maudlin, </w:t>
            </w:r>
            <w:r>
              <w:rPr>
                <w:rStyle w:val="Emphasis"/>
                <w:rFonts w:ascii="Garamond" w:hAnsi="Garamond"/>
                <w:b/>
                <w:lang w:val="en-GB"/>
              </w:rPr>
              <w:t>Philosophy of Physics: Quantum Theory.</w:t>
            </w:r>
            <w:r>
              <w:rPr>
                <w:rStyle w:val="StrongEmphasis"/>
                <w:rFonts w:ascii="Garamond" w:hAnsi="Garamond"/>
                <w:b/>
                <w:lang w:val="en-GB"/>
              </w:rPr>
              <w:t xml:space="preserve"> Princeton University Press, 2019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Suggested further reading: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Style w:val="StrongEmphasis"/>
                <w:rFonts w:ascii="Garamond" w:hAnsi="Garamond"/>
                <w:b/>
                <w:lang w:val="en-GB"/>
              </w:rPr>
              <w:t xml:space="preserve">Tim Maudlin, </w:t>
            </w:r>
            <w:r>
              <w:rPr>
                <w:rFonts w:ascii="Garamond" w:hAnsi="Garamond"/>
                <w:b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>Quantum Non-Locality and Relativity</w:t>
            </w:r>
            <w:r>
              <w:rPr>
                <w:rFonts w:ascii="Garamond" w:hAnsi="Garamond"/>
                <w:b/>
                <w:lang w:val="en-GB"/>
              </w:rPr>
              <w:t>. Malden, MA: Wiley-Blackwell, 2011.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David Albert,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>Quantum Mechanics and Experience,</w:t>
            </w:r>
            <w:r>
              <w:rPr>
                <w:rFonts w:ascii="Garamond" w:hAnsi="Garamond"/>
                <w:b/>
                <w:lang w:val="en-GB"/>
              </w:rPr>
              <w:t xml:space="preserve"> Cambridge, MA: Harvard University Press, 1992.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Adam Becker,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>What Is Real?</w:t>
            </w:r>
            <w:r>
              <w:rPr>
                <w:rFonts w:ascii="Garamond" w:hAnsi="Garamond"/>
                <w:b/>
                <w:lang w:val="en-GB"/>
              </w:rPr>
              <w:t xml:space="preserve"> New York: Basic Books, 2018.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John Stewart Bell,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>Speakable and Unspeakable in Quantum Mechanics</w:t>
            </w:r>
            <w:r>
              <w:rPr>
                <w:rFonts w:ascii="Garamond" w:hAnsi="Garamond"/>
                <w:b/>
                <w:lang w:val="en-GB"/>
              </w:rPr>
              <w:t>, second edition, Cambridge: Cambridge University Press, 2004.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E. Szabó László, </w:t>
            </w:r>
            <w:r>
              <w:rPr>
                <w:rFonts w:ascii="Garamond" w:hAnsi="Garamond"/>
                <w:b/>
                <w:i/>
                <w:lang w:val="en-GB"/>
              </w:rPr>
              <w:t>A nyitott jövő problémája - véletlen, kauzalitás és determinizmus a fizikában (The problem of open future - chance, causality, and determinism in physics)</w:t>
            </w:r>
            <w:r>
              <w:rPr>
                <w:rFonts w:ascii="Garamond" w:hAnsi="Garamond"/>
                <w:b/>
                <w:lang w:val="en-GB"/>
              </w:rPr>
              <w:t>, Typotex Könyvkiadó, Budapest, 2002.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Jean Bricmont,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 xml:space="preserve">Making Sense of Quantum Mechanics, </w:t>
            </w:r>
            <w:r>
              <w:rPr>
                <w:rFonts w:ascii="Garamond" w:hAnsi="Garamond"/>
                <w:b/>
                <w:lang w:val="en-GB"/>
              </w:rPr>
              <w:t>Cham, Switzerland: Springer International, 2016.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Travis Norsen, </w:t>
            </w:r>
            <w:r>
              <w:rPr>
                <w:rFonts w:ascii="Garamond" w:hAnsi="Garamond"/>
                <w:b/>
                <w:i/>
                <w:iCs/>
                <w:lang w:val="en-GB"/>
              </w:rPr>
              <w:t>Foundations of Quantum Mechanics: An Exploration of the Physical Meaning of Quantum Theory,</w:t>
            </w:r>
            <w:r>
              <w:rPr>
                <w:rFonts w:ascii="Garamond" w:hAnsi="Garamond"/>
                <w:b/>
                <w:lang w:val="en-GB"/>
              </w:rPr>
              <w:t xml:space="preserve"> Cham, Switzerland: Springer International, 2017.</w:t>
            </w:r>
          </w:p>
          <w:p>
            <w:pPr>
              <w:pStyle w:val="Normal"/>
              <w:widowControl w:val="false"/>
              <w:spacing w:before="0" w:after="0"/>
              <w:rPr>
                <w:rFonts w:ascii="Garamond" w:hAnsi="Garamond"/>
                <w:bCs/>
                <w:lang w:val="en-GB"/>
              </w:rPr>
            </w:pPr>
            <w:r>
              <w:rPr>
                <w:rFonts w:ascii="Garamond" w:hAnsi="Garamond"/>
                <w:bCs/>
                <w:lang w:val="en-GB"/>
              </w:rPr>
            </w:r>
          </w:p>
        </w:tc>
      </w:tr>
    </w:tbl>
    <w:p>
      <w:pPr>
        <w:pStyle w:val="NoSpacing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48" w:type="dxa"/>
      <w:jc w:val="left"/>
      <w:tblInd w:w="-567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196"/>
      <w:gridCol w:w="1814"/>
      <w:gridCol w:w="4338"/>
    </w:tblGrid>
    <w:tr>
      <w:trPr>
        <w:trHeight w:val="835" w:hRule="atLeast"/>
      </w:trPr>
      <w:tc>
        <w:tcPr>
          <w:tcW w:w="4196" w:type="dxa"/>
          <w:tcBorders/>
        </w:tcPr>
        <w:p>
          <w:pPr>
            <w:pStyle w:val="NoSpacing"/>
            <w:widowControl w:val="false"/>
            <w:spacing w:lineRule="auto" w:line="252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EÖTVÖS LORÁND TUDOMÁNYEGYETEM</w:t>
          </w:r>
        </w:p>
        <w:p>
          <w:pPr>
            <w:pStyle w:val="NoSpacing"/>
            <w:widowControl w:val="false"/>
            <w:spacing w:lineRule="auto" w:line="252"/>
            <w:rPr>
              <w:rFonts w:ascii="Garamond" w:hAnsi="Garamond"/>
              <w:b/>
              <w:spacing w:val="20"/>
              <w:sz w:val="18"/>
              <w:szCs w:val="18"/>
            </w:rPr>
          </w:pPr>
          <w:r>
            <w:rPr>
              <w:rFonts w:ascii="Garamond" w:hAnsi="Garamond"/>
              <w:b/>
              <w:spacing w:val="20"/>
              <w:sz w:val="18"/>
              <w:szCs w:val="18"/>
            </w:rPr>
            <w:t>Bölcsészettudományi Kar</w:t>
          </w:r>
        </w:p>
        <w:p>
          <w:pPr>
            <w:pStyle w:val="NoSpacing"/>
            <w:widowControl w:val="false"/>
            <w:spacing w:lineRule="auto" w:line="252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Email: incoming@btk.elte.hu</w:t>
          </w:r>
        </w:p>
      </w:tc>
      <w:tc>
        <w:tcPr>
          <w:tcW w:w="1814" w:type="dxa"/>
          <w:tcBorders/>
          <w:vAlign w:val="center"/>
        </w:tcPr>
        <w:p>
          <w:pPr>
            <w:pStyle w:val="Normal"/>
            <w:widowControl w:val="false"/>
            <w:tabs>
              <w:tab w:val="clear" w:pos="708"/>
              <w:tab w:val="right" w:pos="9639" w:leader="none"/>
            </w:tabs>
            <w:spacing w:before="0" w:after="160"/>
            <w:jc w:val="center"/>
            <w:rPr>
              <w:rFonts w:ascii="Garamond" w:hAnsi="Garamond"/>
              <w:b/>
              <w:smallCaps/>
              <w:color w:val="000000"/>
            </w:rPr>
          </w:pPr>
          <w:r>
            <w:rPr>
              <w:rFonts w:ascii="Garamond" w:hAnsi="Garamond"/>
              <w:b/>
              <w:smallCaps/>
              <w:color w:val="00000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haracter">
                  <wp:posOffset>-492760</wp:posOffset>
                </wp:positionH>
                <wp:positionV relativeFrom="paragraph">
                  <wp:posOffset>-81280</wp:posOffset>
                </wp:positionV>
                <wp:extent cx="930910" cy="930910"/>
                <wp:effectExtent l="0" t="0" r="0" b="0"/>
                <wp:wrapNone/>
                <wp:docPr id="1" name="Kép 2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2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930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38" w:type="dxa"/>
          <w:tcBorders/>
        </w:tcPr>
        <w:p>
          <w:pPr>
            <w:pStyle w:val="NoSpacing"/>
            <w:widowControl w:val="false"/>
            <w:spacing w:lineRule="auto" w:line="252"/>
            <w:jc w:val="right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EÖTVÖS LORÁND UNIVERSITY</w:t>
          </w:r>
        </w:p>
        <w:p>
          <w:pPr>
            <w:pStyle w:val="NoSpacing"/>
            <w:widowControl w:val="false"/>
            <w:spacing w:lineRule="auto" w:line="252"/>
            <w:jc w:val="right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pacing w:val="20"/>
              <w:sz w:val="18"/>
              <w:szCs w:val="18"/>
            </w:rPr>
            <w:t>Faculty of Humanitie</w:t>
          </w:r>
          <w:r>
            <w:rPr>
              <w:rFonts w:ascii="Garamond" w:hAnsi="Garamond"/>
              <w:b/>
              <w:sz w:val="18"/>
              <w:szCs w:val="18"/>
            </w:rPr>
            <w:t>s</w:t>
          </w:r>
        </w:p>
        <w:p>
          <w:pPr>
            <w:pStyle w:val="NoSpacing"/>
            <w:widowControl w:val="false"/>
            <w:spacing w:lineRule="auto" w:line="252"/>
            <w:jc w:val="right"/>
            <w:rPr>
              <w:rFonts w:ascii="Garamond" w:hAnsi="Garamond"/>
              <w:color w:val="000000"/>
              <w:sz w:val="18"/>
              <w:szCs w:val="18"/>
            </w:rPr>
          </w:pPr>
          <w:r>
            <w:rPr>
              <w:rFonts w:ascii="Garamond" w:hAnsi="Garamond"/>
              <w:color w:val="000000"/>
              <w:sz w:val="18"/>
              <w:szCs w:val="18"/>
            </w:rPr>
            <w:t>E-mail: incoming@btk.elte.hu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en-US" w:bidi="ar-SA"/>
    </w:rPr>
  </w:style>
  <w:style w:type="character" w:styleId="DefaultParagraphFont">
    <w:name w:val="Default Paragraph Font"/>
    <w:qFormat/>
    <w:rPr/>
  </w:style>
  <w:style w:type="character" w:styleId="lfejChar">
    <w:name w:val="Élőfej Char"/>
    <w:basedOn w:val="DefaultParagraphFont"/>
    <w:qFormat/>
    <w:rPr/>
  </w:style>
  <w:style w:type="character" w:styleId="llbChar">
    <w:name w:val="Élőláb Char"/>
    <w:basedOn w:val="DefaultParagraphFont"/>
    <w:qFormat/>
    <w:rPr/>
  </w:style>
  <w:style w:type="character" w:styleId="Hangsfafafafalyoze1e1e1e1s">
    <w:name w:val="Hangsúfafafafalyozáe1e1e1e1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SzvegtrzsChar">
    <w:name w:val="Szövegtörzs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BulletSymbols">
    <w:name w:val="Bullet_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en-US" w:bidi="ar-SA"/>
    </w:rPr>
  </w:style>
  <w:style w:type="paragraph" w:styleId="Te1e1e1e1ble1e1e1e1zattartalom">
    <w:name w:val="Táe1e1e1e1bláe1e1e1e1zattartalom"/>
    <w:basedOn w:val="Normal"/>
    <w:qFormat/>
    <w:pPr>
      <w:suppressAutoHyphens w:val="true"/>
      <w:spacing w:lineRule="auto" w:line="276" w:before="0" w:after="200"/>
    </w:pPr>
    <w:rPr>
      <w:rFonts w:ascii="Calibri" w:hAnsi="Calibri" w:eastAsia="Times New Roman" w:cs="Calibri"/>
      <w:color w:val="000000"/>
      <w:kern w:val="2"/>
      <w:lang w:eastAsia="hu-HU" w:bidi="hi-IN"/>
    </w:rPr>
  </w:style>
  <w:style w:type="paragraph" w:styleId="DefaultStyle">
    <w:name w:val="Default Style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hu-HU" w:eastAsia="hu-HU" w:bidi="ar-SA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>
      <w:rFonts w:cs="Calibri"/>
      <w:lang w:val="en-GB"/>
    </w:rPr>
  </w:style>
  <w:style w:type="paragraph" w:styleId="Bibliography">
    <w:name w:val="Bibliography"/>
    <w:basedOn w:val="Normal"/>
    <w:next w:val="Normal"/>
    <w:qFormat/>
    <w:pPr>
      <w:suppressAutoHyphens w:val="true"/>
      <w:spacing w:lineRule="auto" w:line="276" w:before="0" w:after="200"/>
    </w:pPr>
    <w:rPr>
      <w:rFonts w:ascii="Calibri" w:hAnsi="Calibri" w:eastAsia="Times New Roman" w:cs="Mangal"/>
      <w:color w:val="000000"/>
      <w:kern w:val="2"/>
      <w:szCs w:val="20"/>
      <w:lang w:eastAsia="hu-HU" w:bidi="hi-IN"/>
    </w:rPr>
  </w:style>
  <w:style w:type="paragraph" w:styleId="Te1ble1zattartalom">
    <w:name w:val="Táe1bláe1zattartalom"/>
    <w:basedOn w:val="Normal"/>
    <w:qFormat/>
    <w:pPr>
      <w:suppressAutoHyphens w:val="true"/>
      <w:spacing w:lineRule="auto" w:line="276" w:before="0" w:after="200"/>
    </w:pPr>
    <w:rPr>
      <w:rFonts w:ascii="Calibri" w:hAnsi="Calibri" w:eastAsia="Times New Roman" w:cs="Calibri"/>
      <w:color w:val="000000"/>
      <w:lang w:eastAsia="hu-HU" w:bidi="hi-IN"/>
    </w:rPr>
  </w:style>
  <w:style w:type="paragraph" w:styleId="Te1e1e1e1e1ble1e1e1e1e1zattartalom">
    <w:name w:val="Táe1e1e1e1e1bláe1e1e1e1e1zattartalom"/>
    <w:basedOn w:val="Normal"/>
    <w:qFormat/>
    <w:pPr>
      <w:suppressAutoHyphens w:val="true"/>
      <w:spacing w:lineRule="exact" w:line="276" w:before="0" w:after="200"/>
    </w:pPr>
    <w:rPr>
      <w:rFonts w:ascii="Calibri" w:hAnsi="Calibri" w:eastAsia="Times New Roman" w:cs="Calibri"/>
      <w:color w:val="000000"/>
      <w:kern w:val="2"/>
      <w:lang w:eastAsia="hu-HU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Body">
    <w:name w:val="Bod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u w:val="none"/>
      <w:lang w:val="hu-HU" w:eastAsia="hi-IN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LibreOffice/24.2.6.2$Linux_X86_64 LibreOffice_project/420$Build-2</Application>
  <AppVersion>15.0000</AppVersion>
  <Pages>2</Pages>
  <Words>288</Words>
  <Characters>1889</Characters>
  <CharactersWithSpaces>2143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2021-11-11T11:00:00Z</dcterms:created>
  <dc:creator>Katja</dc:creator>
  <dc:description/>
  <dc:language>en-US</dc:language>
  <cp:lastModifiedBy/>
  <dcterms:modified xsi:type="dcterms:W3CDTF">2025-01-18T07:05:09Z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