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59F8" w14:textId="716951E2" w:rsidR="003E3321" w:rsidRDefault="003E3321" w:rsidP="003E3321">
      <w:pPr>
        <w:ind w:right="-108"/>
        <w:jc w:val="center"/>
        <w:rPr>
          <w:rFonts w:ascii="Garamond" w:hAnsi="Garamond"/>
          <w:b/>
          <w:sz w:val="26"/>
          <w:szCs w:val="26"/>
          <w:lang w:val="en-US"/>
        </w:rPr>
      </w:pPr>
      <w:r>
        <w:rPr>
          <w:rFonts w:ascii="Garamond" w:hAnsi="Garamond"/>
          <w:b/>
          <w:sz w:val="26"/>
          <w:szCs w:val="26"/>
          <w:lang w:val="en-US"/>
        </w:rPr>
        <w:t>COURSE DESCRIPTION</w:t>
      </w:r>
    </w:p>
    <w:p w14:paraId="27D2F3F6" w14:textId="77777777" w:rsidR="003E3321" w:rsidRDefault="003E3321" w:rsidP="003E3321">
      <w:pPr>
        <w:ind w:right="-108"/>
        <w:rPr>
          <w:rFonts w:ascii="Garamond" w:hAnsi="Garamond"/>
          <w:b/>
          <w:sz w:val="26"/>
          <w:szCs w:val="26"/>
          <w:lang w:val="en-US"/>
        </w:rPr>
      </w:pPr>
    </w:p>
    <w:p w14:paraId="70773E30" w14:textId="4203D36E" w:rsidR="003E3321" w:rsidRDefault="003E3321" w:rsidP="003E3321">
      <w:pPr>
        <w:ind w:right="-108"/>
        <w:rPr>
          <w:rFonts w:ascii="Garamond" w:hAnsi="Garamond"/>
          <w:b/>
          <w:sz w:val="26"/>
          <w:szCs w:val="26"/>
          <w:lang w:val="en-US"/>
        </w:rPr>
      </w:pPr>
      <w:r>
        <w:rPr>
          <w:rFonts w:ascii="Garamond" w:hAnsi="Garamond"/>
          <w:b/>
          <w:sz w:val="26"/>
          <w:szCs w:val="26"/>
          <w:lang w:val="en-US"/>
        </w:rPr>
        <w:t xml:space="preserve">Code of course: </w:t>
      </w:r>
    </w:p>
    <w:p w14:paraId="2661409B" w14:textId="5EBA7BAA" w:rsidR="003E3321" w:rsidRPr="00F77ED3" w:rsidRDefault="003E3321" w:rsidP="003E3321">
      <w:pPr>
        <w:ind w:right="-108"/>
        <w:rPr>
          <w:rFonts w:ascii="Garamond" w:hAnsi="Garamond"/>
          <w:b/>
          <w:sz w:val="26"/>
          <w:szCs w:val="26"/>
        </w:rPr>
      </w:pPr>
      <w:r>
        <w:rPr>
          <w:rFonts w:ascii="Garamond" w:hAnsi="Garamond"/>
          <w:b/>
          <w:sz w:val="26"/>
          <w:szCs w:val="26"/>
          <w:lang w:val="en-US"/>
        </w:rPr>
        <w:t>Title of course: Introduction to Philosophy of Language</w:t>
      </w:r>
      <w:r w:rsidR="00E02784">
        <w:rPr>
          <w:rFonts w:ascii="Garamond" w:hAnsi="Garamond"/>
          <w:b/>
          <w:sz w:val="26"/>
          <w:szCs w:val="26"/>
          <w:lang w:val="en-US"/>
        </w:rPr>
        <w:t xml:space="preserve"> / Theories of Meaning</w:t>
      </w:r>
    </w:p>
    <w:p w14:paraId="129146B1" w14:textId="086F27CD" w:rsidR="003E3321" w:rsidRPr="003E3321" w:rsidRDefault="003E3321" w:rsidP="003E3321">
      <w:pPr>
        <w:ind w:right="-108"/>
        <w:rPr>
          <w:rFonts w:ascii="Garamond" w:hAnsi="Garamond"/>
          <w:b/>
          <w:sz w:val="26"/>
          <w:szCs w:val="26"/>
        </w:rPr>
      </w:pPr>
      <w:r>
        <w:rPr>
          <w:rFonts w:ascii="Garamond" w:hAnsi="Garamond"/>
          <w:b/>
          <w:sz w:val="26"/>
          <w:szCs w:val="26"/>
          <w:lang w:val="en-US"/>
        </w:rPr>
        <w:t>Lecturer: Zs</w:t>
      </w:r>
      <w:proofErr w:type="spellStart"/>
      <w:r>
        <w:rPr>
          <w:rFonts w:ascii="Garamond" w:hAnsi="Garamond"/>
          <w:b/>
          <w:sz w:val="26"/>
          <w:szCs w:val="26"/>
        </w:rPr>
        <w:t>ófia</w:t>
      </w:r>
      <w:proofErr w:type="spellEnd"/>
      <w:r>
        <w:rPr>
          <w:rFonts w:ascii="Garamond" w:hAnsi="Garamond"/>
          <w:b/>
          <w:sz w:val="26"/>
          <w:szCs w:val="26"/>
        </w:rPr>
        <w:t xml:space="preserve"> </w:t>
      </w:r>
      <w:proofErr w:type="spellStart"/>
      <w:r>
        <w:rPr>
          <w:rFonts w:ascii="Garamond" w:hAnsi="Garamond"/>
          <w:b/>
          <w:sz w:val="26"/>
          <w:szCs w:val="26"/>
        </w:rPr>
        <w:t>Zvolenszky</w:t>
      </w:r>
      <w:proofErr w:type="spellEnd"/>
    </w:p>
    <w:p w14:paraId="1997F06D" w14:textId="77777777" w:rsidR="003E3321" w:rsidRDefault="003E3321" w:rsidP="003E3321">
      <w:pPr>
        <w:ind w:right="-108"/>
        <w:jc w:val="both"/>
        <w:rPr>
          <w:rFonts w:ascii="Garamond" w:hAnsi="Garamond"/>
          <w:b/>
          <w:sz w:val="26"/>
          <w:szCs w:val="26"/>
          <w:lang w:val="en-US"/>
        </w:rPr>
      </w:pPr>
    </w:p>
    <w:p w14:paraId="609D31A1" w14:textId="631E39B0" w:rsidR="003E3321" w:rsidRPr="0004437B" w:rsidRDefault="003E3321" w:rsidP="003E3321">
      <w:pPr>
        <w:ind w:right="-108"/>
        <w:jc w:val="both"/>
        <w:rPr>
          <w:rFonts w:ascii="Garamond" w:hAnsi="Garamond"/>
          <w:b/>
          <w:sz w:val="26"/>
          <w:szCs w:val="26"/>
          <w:lang w:val="en-US"/>
        </w:rPr>
      </w:pPr>
      <w:r>
        <w:rPr>
          <w:rFonts w:ascii="Garamond" w:hAnsi="Garamond"/>
          <w:b/>
          <w:sz w:val="26"/>
          <w:szCs w:val="26"/>
          <w:lang w:val="en-US"/>
        </w:rPr>
        <w:t>General aim of the course:</w:t>
      </w:r>
    </w:p>
    <w:p w14:paraId="0985D664"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Our words, sentences are about—refer to—things in the world: objects, people, events. Plausibly, the meanings of expressions play a central role in explaining this referential feature: for example, it is in virtue of the meaning of the word ’horse’ that it refers to horses. But what exactly does this role played by meaning consist in? The answer is not at all straightforward. Consider these two sentences: </w:t>
      </w:r>
    </w:p>
    <w:p w14:paraId="6E7E7931" w14:textId="77777777" w:rsidR="003E3321" w:rsidRPr="0004437B" w:rsidRDefault="003E3321" w:rsidP="003E3321">
      <w:pPr>
        <w:ind w:right="-108"/>
        <w:jc w:val="both"/>
        <w:rPr>
          <w:rFonts w:ascii="Garamond" w:hAnsi="Garamond"/>
          <w:sz w:val="26"/>
          <w:szCs w:val="26"/>
          <w:lang w:val="en-US"/>
        </w:rPr>
      </w:pPr>
    </w:p>
    <w:p w14:paraId="04FC35DB" w14:textId="77777777" w:rsidR="003E3321" w:rsidRPr="00952150" w:rsidRDefault="003E3321" w:rsidP="003E3321">
      <w:pPr>
        <w:ind w:right="-108"/>
        <w:jc w:val="both"/>
        <w:rPr>
          <w:rFonts w:ascii="Garamond" w:hAnsi="Garamond"/>
          <w:sz w:val="26"/>
          <w:szCs w:val="26"/>
          <w:lang w:val="en-US"/>
        </w:rPr>
      </w:pPr>
      <w:r w:rsidRPr="00952150">
        <w:rPr>
          <w:rFonts w:ascii="Garamond" w:hAnsi="Garamond"/>
          <w:sz w:val="26"/>
          <w:szCs w:val="26"/>
          <w:lang w:val="en-US"/>
        </w:rPr>
        <w:t xml:space="preserve">Joanne K. Rowling is a famous novelist. </w:t>
      </w:r>
    </w:p>
    <w:p w14:paraId="5AAAB925" w14:textId="77777777" w:rsidR="003E3321" w:rsidRDefault="003E3321" w:rsidP="003E3321">
      <w:pPr>
        <w:ind w:right="-108"/>
        <w:jc w:val="both"/>
        <w:rPr>
          <w:rFonts w:ascii="Garamond" w:hAnsi="Garamond"/>
          <w:sz w:val="26"/>
          <w:szCs w:val="26"/>
          <w:lang w:val="en-US"/>
        </w:rPr>
      </w:pPr>
      <w:r w:rsidRPr="00952150">
        <w:rPr>
          <w:rFonts w:ascii="Garamond" w:hAnsi="Garamond"/>
          <w:sz w:val="26"/>
          <w:szCs w:val="26"/>
          <w:lang w:val="en-US"/>
        </w:rPr>
        <w:t>Robert Galbraith is a famous novelist.</w:t>
      </w:r>
    </w:p>
    <w:p w14:paraId="628DAF2F" w14:textId="77777777" w:rsidR="003E3321" w:rsidRPr="0004437B" w:rsidRDefault="003E3321" w:rsidP="003E3321">
      <w:pPr>
        <w:ind w:right="-108"/>
        <w:jc w:val="both"/>
        <w:rPr>
          <w:rFonts w:ascii="Garamond" w:hAnsi="Garamond"/>
          <w:sz w:val="26"/>
          <w:szCs w:val="26"/>
          <w:lang w:val="en-US"/>
        </w:rPr>
      </w:pPr>
    </w:p>
    <w:p w14:paraId="708689BE" w14:textId="77777777" w:rsidR="003E3321"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How does the meaning of the first sentence differ from the meaning of the second? After all, both are about the same individual: who </w:t>
      </w:r>
      <w:r>
        <w:rPr>
          <w:rFonts w:ascii="Garamond" w:hAnsi="Garamond"/>
          <w:sz w:val="26"/>
          <w:szCs w:val="26"/>
          <w:lang w:val="en-US"/>
        </w:rPr>
        <w:t>became famous as</w:t>
      </w:r>
      <w:r w:rsidRPr="0004437B">
        <w:rPr>
          <w:rFonts w:ascii="Garamond" w:hAnsi="Garamond"/>
          <w:sz w:val="26"/>
          <w:szCs w:val="26"/>
          <w:lang w:val="en-US"/>
        </w:rPr>
        <w:t xml:space="preserve"> </w:t>
      </w:r>
      <w:r>
        <w:rPr>
          <w:rFonts w:ascii="Garamond" w:hAnsi="Garamond"/>
          <w:sz w:val="26"/>
          <w:szCs w:val="26"/>
          <w:lang w:val="en-US"/>
        </w:rPr>
        <w:t>J. K. Rowling</w:t>
      </w:r>
      <w:r w:rsidRPr="0004437B">
        <w:rPr>
          <w:rFonts w:ascii="Garamond" w:hAnsi="Garamond"/>
          <w:sz w:val="26"/>
          <w:szCs w:val="26"/>
          <w:lang w:val="en-US"/>
        </w:rPr>
        <w:t xml:space="preserve"> but </w:t>
      </w:r>
      <w:r>
        <w:rPr>
          <w:rFonts w:ascii="Garamond" w:hAnsi="Garamond"/>
          <w:sz w:val="26"/>
          <w:szCs w:val="26"/>
          <w:lang w:val="en-US"/>
        </w:rPr>
        <w:t xml:space="preserve">has also written under the </w:t>
      </w:r>
      <w:r w:rsidRPr="0004437B">
        <w:rPr>
          <w:rFonts w:ascii="Garamond" w:hAnsi="Garamond"/>
          <w:sz w:val="26"/>
          <w:szCs w:val="26"/>
          <w:lang w:val="en-US"/>
        </w:rPr>
        <w:t>pseudonym ‘</w:t>
      </w:r>
      <w:r>
        <w:rPr>
          <w:rFonts w:ascii="Garamond" w:hAnsi="Garamond"/>
          <w:sz w:val="26"/>
          <w:szCs w:val="26"/>
          <w:lang w:val="en-US"/>
        </w:rPr>
        <w:t>Robert Galbraith’</w:t>
      </w:r>
      <w:r w:rsidRPr="0004437B">
        <w:rPr>
          <w:rFonts w:ascii="Garamond" w:hAnsi="Garamond"/>
          <w:sz w:val="26"/>
          <w:szCs w:val="26"/>
          <w:lang w:val="en-US"/>
        </w:rPr>
        <w:t xml:space="preserve">. Yet—according to </w:t>
      </w:r>
      <w:proofErr w:type="spellStart"/>
      <w:r w:rsidRPr="0004437B">
        <w:rPr>
          <w:rFonts w:ascii="Garamond" w:hAnsi="Garamond"/>
          <w:sz w:val="26"/>
          <w:szCs w:val="26"/>
          <w:lang w:val="en-US"/>
        </w:rPr>
        <w:t>Gottlob</w:t>
      </w:r>
      <w:proofErr w:type="spellEnd"/>
      <w:r w:rsidRPr="0004437B">
        <w:rPr>
          <w:rFonts w:ascii="Garamond" w:hAnsi="Garamond"/>
          <w:sz w:val="26"/>
          <w:szCs w:val="26"/>
          <w:lang w:val="en-US"/>
        </w:rPr>
        <w:t xml:space="preserve"> Frege—the two sentences cannot have the same meaning because someone may rationally believe one (the first, say), without believing the other. This is what Frege’s “puzzle” consists in, providing the starting point for 20th-century philosophy of language. In the seminar, our aim is to gain a greater understanding of the nature of meaning, and its relation to reference, truth, communication.</w:t>
      </w:r>
    </w:p>
    <w:p w14:paraId="745F3EE6"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The aim of the course is to review and discuss central issues in philosophy of language based on influential primary and secondary texts</w:t>
      </w:r>
      <w:r>
        <w:rPr>
          <w:rFonts w:ascii="Garamond" w:hAnsi="Garamond"/>
          <w:sz w:val="26"/>
          <w:szCs w:val="26"/>
          <w:lang w:val="en-US"/>
        </w:rPr>
        <w:t>:</w:t>
      </w:r>
    </w:p>
    <w:p w14:paraId="04FCE795" w14:textId="4DBC17FA" w:rsidR="003E3321" w:rsidRDefault="003E3321" w:rsidP="003E3321">
      <w:pPr>
        <w:ind w:right="-108"/>
        <w:jc w:val="both"/>
        <w:rPr>
          <w:rFonts w:ascii="Garamond" w:hAnsi="Garamond"/>
          <w:sz w:val="26"/>
          <w:szCs w:val="26"/>
          <w:lang w:val="en-US"/>
        </w:rPr>
      </w:pPr>
      <w:r w:rsidRPr="002648CF">
        <w:rPr>
          <w:rFonts w:ascii="Garamond" w:hAnsi="Garamond"/>
          <w:sz w:val="26"/>
          <w:szCs w:val="26"/>
          <w:lang w:val="en-US"/>
        </w:rPr>
        <w:t xml:space="preserve"> </w:t>
      </w:r>
    </w:p>
    <w:p w14:paraId="43F0B1A7" w14:textId="066FE450" w:rsidR="003E3321" w:rsidRPr="003E3321" w:rsidRDefault="003E3321" w:rsidP="003E3321">
      <w:pPr>
        <w:ind w:right="-108"/>
        <w:jc w:val="both"/>
        <w:rPr>
          <w:rFonts w:ascii="Garamond" w:hAnsi="Garamond"/>
          <w:b/>
          <w:bCs/>
          <w:sz w:val="26"/>
          <w:szCs w:val="26"/>
          <w:lang w:val="en-US"/>
        </w:rPr>
      </w:pPr>
      <w:r>
        <w:rPr>
          <w:rFonts w:ascii="Garamond" w:hAnsi="Garamond"/>
          <w:b/>
          <w:bCs/>
          <w:sz w:val="26"/>
          <w:szCs w:val="26"/>
          <w:lang w:val="en-US"/>
        </w:rPr>
        <w:t>Content of the course:</w:t>
      </w:r>
    </w:p>
    <w:p w14:paraId="754CF380"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Frege on sense and reference, on proper names and definite descriptions</w:t>
      </w:r>
    </w:p>
    <w:p w14:paraId="2426746E"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Russell and Strawson on definite descriptions</w:t>
      </w:r>
    </w:p>
    <w:p w14:paraId="724D6E68"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r>
      <w:proofErr w:type="spellStart"/>
      <w:r w:rsidRPr="002648CF">
        <w:rPr>
          <w:rFonts w:ascii="Garamond" w:hAnsi="Garamond"/>
          <w:sz w:val="26"/>
          <w:szCs w:val="26"/>
          <w:lang w:val="en-US"/>
        </w:rPr>
        <w:t>Kripke</w:t>
      </w:r>
      <w:proofErr w:type="spellEnd"/>
      <w:r w:rsidRPr="002648CF">
        <w:rPr>
          <w:rFonts w:ascii="Garamond" w:hAnsi="Garamond"/>
          <w:sz w:val="26"/>
          <w:szCs w:val="26"/>
          <w:lang w:val="en-US"/>
        </w:rPr>
        <w:t xml:space="preserve"> on proper names</w:t>
      </w:r>
    </w:p>
    <w:p w14:paraId="1F9192CE"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r>
      <w:proofErr w:type="spellStart"/>
      <w:r w:rsidRPr="002648CF">
        <w:rPr>
          <w:rFonts w:ascii="Garamond" w:hAnsi="Garamond"/>
          <w:sz w:val="26"/>
          <w:szCs w:val="26"/>
          <w:lang w:val="en-US"/>
        </w:rPr>
        <w:t>Kripke</w:t>
      </w:r>
      <w:proofErr w:type="spellEnd"/>
      <w:r w:rsidRPr="002648CF">
        <w:rPr>
          <w:rFonts w:ascii="Garamond" w:hAnsi="Garamond"/>
          <w:sz w:val="26"/>
          <w:szCs w:val="26"/>
          <w:lang w:val="en-US"/>
        </w:rPr>
        <w:t xml:space="preserve"> and Putnam on natural kind terms</w:t>
      </w:r>
    </w:p>
    <w:p w14:paraId="2EB9A89A"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Grice on meaning</w:t>
      </w:r>
    </w:p>
    <w:p w14:paraId="2385E587"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Austin and Searle on speech acts</w:t>
      </w:r>
    </w:p>
    <w:p w14:paraId="62C32DC1"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Grice on communication</w:t>
      </w:r>
    </w:p>
    <w:p w14:paraId="74BF2A6A" w14:textId="77777777" w:rsidR="003E3321" w:rsidRPr="002648CF" w:rsidRDefault="003E3321" w:rsidP="003E3321">
      <w:pPr>
        <w:ind w:right="-108"/>
        <w:jc w:val="both"/>
        <w:rPr>
          <w:rFonts w:ascii="Garamond" w:hAnsi="Garamond"/>
          <w:sz w:val="26"/>
          <w:szCs w:val="26"/>
          <w:lang w:val="en-US"/>
        </w:rPr>
      </w:pPr>
      <w:r w:rsidRPr="002648CF">
        <w:rPr>
          <w:rFonts w:ascii="Garamond" w:hAnsi="Garamond"/>
          <w:sz w:val="26"/>
          <w:szCs w:val="26"/>
          <w:lang w:val="en-US"/>
        </w:rPr>
        <w:t>•</w:t>
      </w:r>
      <w:r w:rsidRPr="002648CF">
        <w:rPr>
          <w:rFonts w:ascii="Garamond" w:hAnsi="Garamond"/>
          <w:sz w:val="26"/>
          <w:szCs w:val="26"/>
          <w:lang w:val="en-US"/>
        </w:rPr>
        <w:tab/>
        <w:t>Applications of Grice, Frege, Strawson: for example, pejorative language use</w:t>
      </w:r>
    </w:p>
    <w:p w14:paraId="64CB1486" w14:textId="10A884F1" w:rsidR="003E3321" w:rsidRDefault="003E3321" w:rsidP="003E3321">
      <w:pPr>
        <w:ind w:right="-108"/>
        <w:jc w:val="both"/>
        <w:rPr>
          <w:rFonts w:ascii="Garamond" w:hAnsi="Garamond"/>
          <w:sz w:val="26"/>
          <w:szCs w:val="26"/>
          <w:lang w:val="en-US"/>
        </w:rPr>
      </w:pPr>
    </w:p>
    <w:p w14:paraId="350C29C9" w14:textId="77777777" w:rsidR="003E3321" w:rsidRPr="0004437B" w:rsidRDefault="003E3321" w:rsidP="003E3321">
      <w:pPr>
        <w:ind w:right="-108"/>
        <w:rPr>
          <w:rFonts w:ascii="Garamond" w:hAnsi="Garamond"/>
          <w:b/>
          <w:sz w:val="26"/>
          <w:szCs w:val="26"/>
          <w:lang w:val="en-US"/>
        </w:rPr>
      </w:pPr>
      <w:r>
        <w:rPr>
          <w:rFonts w:ascii="Garamond" w:hAnsi="Garamond"/>
          <w:b/>
          <w:sz w:val="26"/>
          <w:szCs w:val="26"/>
          <w:lang w:val="en-US"/>
        </w:rPr>
        <w:t>Grading criteria, specific requirements for the course:</w:t>
      </w:r>
    </w:p>
    <w:p w14:paraId="2EABC9C7"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 30–40 pages of reading each week </w:t>
      </w:r>
    </w:p>
    <w:p w14:paraId="0F68B542"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at the beginning of (almost) ev</w:t>
      </w:r>
      <w:r>
        <w:rPr>
          <w:rFonts w:ascii="Garamond" w:hAnsi="Garamond"/>
          <w:sz w:val="26"/>
          <w:szCs w:val="26"/>
          <w:lang w:val="en-US"/>
        </w:rPr>
        <w:t>ery seminar, a short online quiz for which you will receive an access link (the 6</w:t>
      </w:r>
      <w:r w:rsidRPr="0004437B">
        <w:rPr>
          <w:rFonts w:ascii="Garamond" w:hAnsi="Garamond"/>
          <w:sz w:val="26"/>
          <w:szCs w:val="26"/>
          <w:lang w:val="en-US"/>
        </w:rPr>
        <w:t xml:space="preserve"> highest scores count towards 20% of the final grade)</w:t>
      </w:r>
      <w:r>
        <w:rPr>
          <w:rFonts w:ascii="Garamond" w:hAnsi="Garamond"/>
          <w:sz w:val="26"/>
          <w:szCs w:val="26"/>
          <w:lang w:val="en-US"/>
        </w:rPr>
        <w:t xml:space="preserve"> in Canvas</w:t>
      </w:r>
    </w:p>
    <w:p w14:paraId="3EFE4FE9" w14:textId="5A0ECB67" w:rsidR="003E3321" w:rsidRPr="00912C5F" w:rsidRDefault="003E3321" w:rsidP="003E3321">
      <w:pPr>
        <w:ind w:right="-108"/>
        <w:jc w:val="both"/>
        <w:rPr>
          <w:rFonts w:ascii="Garamond" w:hAnsi="Garamond"/>
          <w:sz w:val="26"/>
          <w:szCs w:val="26"/>
          <w:lang w:val="en-US"/>
        </w:rPr>
      </w:pPr>
      <w:r w:rsidRPr="0004437B">
        <w:rPr>
          <w:rFonts w:ascii="Garamond" w:hAnsi="Garamond"/>
          <w:sz w:val="26"/>
          <w:szCs w:val="26"/>
          <w:lang w:val="en-US"/>
        </w:rPr>
        <w:t>– posting 2 questions/comments at the course d</w:t>
      </w:r>
      <w:r>
        <w:rPr>
          <w:rFonts w:ascii="Garamond" w:hAnsi="Garamond"/>
          <w:sz w:val="26"/>
          <w:szCs w:val="26"/>
          <w:lang w:val="en-US"/>
        </w:rPr>
        <w:t xml:space="preserve">iscussion forum each week (the </w:t>
      </w:r>
      <w:r w:rsidR="00FE008A">
        <w:rPr>
          <w:rFonts w:ascii="Garamond" w:hAnsi="Garamond"/>
          <w:sz w:val="26"/>
          <w:szCs w:val="26"/>
          <w:lang w:val="en-US"/>
        </w:rPr>
        <w:t>10</w:t>
      </w:r>
      <w:r w:rsidRPr="0004437B">
        <w:rPr>
          <w:rFonts w:ascii="Garamond" w:hAnsi="Garamond"/>
          <w:sz w:val="26"/>
          <w:szCs w:val="26"/>
          <w:lang w:val="en-US"/>
        </w:rPr>
        <w:t xml:space="preserve"> best make up 20 % of the final grade), by 4 p.m. on </w:t>
      </w:r>
      <w:r w:rsidRPr="00912C5F">
        <w:rPr>
          <w:rFonts w:ascii="Garamond" w:hAnsi="Garamond"/>
          <w:sz w:val="26"/>
          <w:szCs w:val="26"/>
          <w:lang w:val="en-US"/>
        </w:rPr>
        <w:t>Tuesday</w:t>
      </w:r>
    </w:p>
    <w:p w14:paraId="3D4C7A8E" w14:textId="77777777" w:rsidR="003E3321" w:rsidRPr="00912C5F" w:rsidRDefault="003E3321" w:rsidP="003E3321">
      <w:pPr>
        <w:ind w:right="-108"/>
        <w:jc w:val="both"/>
        <w:rPr>
          <w:rFonts w:ascii="Garamond" w:hAnsi="Garamond"/>
          <w:sz w:val="26"/>
          <w:szCs w:val="26"/>
          <w:lang w:val="en-US"/>
        </w:rPr>
      </w:pPr>
      <w:r w:rsidRPr="00912C5F">
        <w:rPr>
          <w:rFonts w:ascii="Garamond" w:hAnsi="Garamond"/>
          <w:sz w:val="26"/>
          <w:szCs w:val="26"/>
          <w:lang w:val="en-US"/>
        </w:rPr>
        <w:t>– class participation (worth 15 %)</w:t>
      </w:r>
    </w:p>
    <w:p w14:paraId="3A067C6B" w14:textId="0B2AC852" w:rsidR="003E3321" w:rsidRPr="00C92ACA" w:rsidRDefault="003E3321" w:rsidP="003E3321">
      <w:pPr>
        <w:ind w:right="-108"/>
        <w:jc w:val="both"/>
        <w:rPr>
          <w:rFonts w:ascii="Garamond" w:hAnsi="Garamond"/>
          <w:sz w:val="26"/>
          <w:szCs w:val="26"/>
        </w:rPr>
      </w:pPr>
      <w:r w:rsidRPr="00912C5F">
        <w:rPr>
          <w:rFonts w:ascii="Garamond" w:hAnsi="Garamond"/>
          <w:sz w:val="26"/>
          <w:szCs w:val="26"/>
          <w:lang w:val="en-US"/>
        </w:rPr>
        <w:t xml:space="preserve">– writing </w:t>
      </w:r>
      <w:r w:rsidR="00FB368F">
        <w:rPr>
          <w:rFonts w:ascii="Garamond" w:hAnsi="Garamond"/>
          <w:sz w:val="26"/>
          <w:szCs w:val="26"/>
          <w:lang w:val="en-US"/>
        </w:rPr>
        <w:t>2</w:t>
      </w:r>
      <w:r w:rsidRPr="00912C5F">
        <w:rPr>
          <w:rFonts w:ascii="Garamond" w:hAnsi="Garamond"/>
          <w:sz w:val="26"/>
          <w:szCs w:val="26"/>
          <w:lang w:val="en-US"/>
        </w:rPr>
        <w:t xml:space="preserve"> short (2-3-page-long) response papers during the semester </w:t>
      </w:r>
      <w:r w:rsidR="00C92ACA">
        <w:rPr>
          <w:rFonts w:ascii="Garamond" w:hAnsi="Garamond"/>
          <w:sz w:val="26"/>
          <w:szCs w:val="26"/>
          <w:lang w:val="en-US"/>
        </w:rPr>
        <w:t xml:space="preserve">(25 </w:t>
      </w:r>
      <w:r w:rsidR="00C92ACA">
        <w:rPr>
          <w:rFonts w:ascii="Garamond" w:hAnsi="Garamond"/>
          <w:sz w:val="26"/>
          <w:szCs w:val="26"/>
        </w:rPr>
        <w:t xml:space="preserve">% of </w:t>
      </w:r>
      <w:proofErr w:type="spellStart"/>
      <w:r w:rsidR="00C92ACA">
        <w:rPr>
          <w:rFonts w:ascii="Garamond" w:hAnsi="Garamond"/>
          <w:sz w:val="26"/>
          <w:szCs w:val="26"/>
        </w:rPr>
        <w:t>the</w:t>
      </w:r>
      <w:proofErr w:type="spellEnd"/>
      <w:r w:rsidR="00C92ACA">
        <w:rPr>
          <w:rFonts w:ascii="Garamond" w:hAnsi="Garamond"/>
          <w:sz w:val="26"/>
          <w:szCs w:val="26"/>
        </w:rPr>
        <w:t xml:space="preserve"> </w:t>
      </w:r>
      <w:proofErr w:type="spellStart"/>
      <w:r w:rsidR="00C92ACA">
        <w:rPr>
          <w:rFonts w:ascii="Garamond" w:hAnsi="Garamond"/>
          <w:sz w:val="26"/>
          <w:szCs w:val="26"/>
        </w:rPr>
        <w:t>final</w:t>
      </w:r>
      <w:proofErr w:type="spellEnd"/>
      <w:r w:rsidR="00C92ACA">
        <w:rPr>
          <w:rFonts w:ascii="Garamond" w:hAnsi="Garamond"/>
          <w:sz w:val="26"/>
          <w:szCs w:val="26"/>
        </w:rPr>
        <w:t xml:space="preserve"> </w:t>
      </w:r>
      <w:proofErr w:type="spellStart"/>
      <w:r w:rsidR="00C92ACA">
        <w:rPr>
          <w:rFonts w:ascii="Garamond" w:hAnsi="Garamond"/>
          <w:sz w:val="26"/>
          <w:szCs w:val="26"/>
        </w:rPr>
        <w:t>grade</w:t>
      </w:r>
      <w:proofErr w:type="spellEnd"/>
      <w:r w:rsidR="00C92ACA">
        <w:rPr>
          <w:rFonts w:ascii="Garamond" w:hAnsi="Garamond"/>
          <w:sz w:val="26"/>
          <w:szCs w:val="26"/>
        </w:rPr>
        <w:t>)</w:t>
      </w:r>
    </w:p>
    <w:p w14:paraId="25DFDEC1" w14:textId="2C52CA9C" w:rsidR="003E3321"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 once during the semester, </w:t>
      </w:r>
      <w:r>
        <w:rPr>
          <w:rFonts w:ascii="Garamond" w:hAnsi="Garamond"/>
          <w:sz w:val="26"/>
          <w:szCs w:val="26"/>
          <w:lang w:val="en-US"/>
        </w:rPr>
        <w:t>giving a presentation</w:t>
      </w:r>
      <w:r w:rsidRPr="0004437B">
        <w:rPr>
          <w:rFonts w:ascii="Garamond" w:hAnsi="Garamond"/>
          <w:sz w:val="26"/>
          <w:szCs w:val="26"/>
          <w:lang w:val="en-US"/>
        </w:rPr>
        <w:t xml:space="preserve"> (this involves briefly introducing the readings as well as students’ </w:t>
      </w:r>
      <w:r>
        <w:rPr>
          <w:rFonts w:ascii="Garamond" w:hAnsi="Garamond"/>
          <w:sz w:val="26"/>
          <w:szCs w:val="26"/>
          <w:lang w:val="en-US"/>
        </w:rPr>
        <w:t xml:space="preserve">questions and comments, worth </w:t>
      </w:r>
      <w:r w:rsidR="00C92ACA">
        <w:rPr>
          <w:rFonts w:ascii="Garamond" w:hAnsi="Garamond"/>
          <w:sz w:val="26"/>
          <w:szCs w:val="26"/>
          <w:lang w:val="en-US"/>
        </w:rPr>
        <w:t>20</w:t>
      </w:r>
      <w:r>
        <w:rPr>
          <w:rFonts w:ascii="Garamond" w:hAnsi="Garamond"/>
          <w:sz w:val="26"/>
          <w:szCs w:val="26"/>
          <w:lang w:val="en-US"/>
        </w:rPr>
        <w:t xml:space="preserve"> </w:t>
      </w:r>
      <w:r w:rsidRPr="0004437B">
        <w:rPr>
          <w:rFonts w:ascii="Garamond" w:hAnsi="Garamond"/>
          <w:sz w:val="26"/>
          <w:szCs w:val="26"/>
          <w:lang w:val="en-US"/>
        </w:rPr>
        <w:t>%)</w:t>
      </w:r>
    </w:p>
    <w:p w14:paraId="5DDF47CC" w14:textId="77777777" w:rsidR="003E3321" w:rsidRPr="0004437B" w:rsidRDefault="003E3321" w:rsidP="003E3321">
      <w:pPr>
        <w:ind w:right="-108"/>
        <w:jc w:val="both"/>
        <w:rPr>
          <w:rFonts w:ascii="Garamond" w:hAnsi="Garamond"/>
          <w:sz w:val="26"/>
          <w:szCs w:val="26"/>
          <w:lang w:val="en-US"/>
        </w:rPr>
      </w:pPr>
    </w:p>
    <w:p w14:paraId="59D24542" w14:textId="3468992E" w:rsidR="003E3321" w:rsidRPr="0004437B" w:rsidRDefault="003E3321" w:rsidP="003E3321">
      <w:pPr>
        <w:ind w:right="-108"/>
        <w:jc w:val="both"/>
        <w:rPr>
          <w:rFonts w:ascii="Garamond" w:hAnsi="Garamond"/>
          <w:b/>
          <w:sz w:val="26"/>
          <w:szCs w:val="26"/>
          <w:lang w:val="en-US"/>
        </w:rPr>
      </w:pPr>
      <w:r>
        <w:rPr>
          <w:rFonts w:ascii="Garamond" w:hAnsi="Garamond"/>
          <w:b/>
          <w:sz w:val="26"/>
          <w:szCs w:val="26"/>
          <w:lang w:val="en-US"/>
        </w:rPr>
        <w:lastRenderedPageBreak/>
        <w:t>Required r</w:t>
      </w:r>
      <w:r w:rsidRPr="0004437B">
        <w:rPr>
          <w:rFonts w:ascii="Garamond" w:hAnsi="Garamond"/>
          <w:b/>
          <w:sz w:val="26"/>
          <w:szCs w:val="26"/>
          <w:lang w:val="en-US"/>
        </w:rPr>
        <w:t>eadings</w:t>
      </w:r>
      <w:r>
        <w:rPr>
          <w:rFonts w:ascii="Garamond" w:hAnsi="Garamond"/>
          <w:b/>
          <w:sz w:val="26"/>
          <w:szCs w:val="26"/>
          <w:lang w:val="en-US"/>
        </w:rPr>
        <w:t>:</w:t>
      </w:r>
    </w:p>
    <w:p w14:paraId="72B7E13F"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Alongside texts</w:t>
      </w:r>
      <w:r>
        <w:rPr>
          <w:rFonts w:ascii="Garamond" w:hAnsi="Garamond"/>
          <w:sz w:val="26"/>
          <w:szCs w:val="26"/>
          <w:lang w:val="en-US"/>
        </w:rPr>
        <w:t xml:space="preserve"> that have been highly influential</w:t>
      </w:r>
      <w:r w:rsidRPr="006E66D4">
        <w:rPr>
          <w:rFonts w:ascii="Garamond" w:hAnsi="Garamond"/>
          <w:sz w:val="26"/>
          <w:szCs w:val="26"/>
          <w:lang w:val="en-US"/>
        </w:rPr>
        <w:t xml:space="preserve"> in the </w:t>
      </w:r>
      <w:r>
        <w:rPr>
          <w:rFonts w:ascii="Garamond" w:hAnsi="Garamond"/>
          <w:sz w:val="26"/>
          <w:szCs w:val="26"/>
          <w:lang w:val="en-US"/>
        </w:rPr>
        <w:t>development of 20</w:t>
      </w:r>
      <w:r w:rsidRPr="00CC1BF4">
        <w:rPr>
          <w:rFonts w:ascii="Garamond" w:hAnsi="Garamond"/>
          <w:sz w:val="26"/>
          <w:szCs w:val="26"/>
          <w:vertAlign w:val="superscript"/>
          <w:lang w:val="en-US"/>
        </w:rPr>
        <w:t>th</w:t>
      </w:r>
      <w:r>
        <w:rPr>
          <w:rFonts w:ascii="Garamond" w:hAnsi="Garamond"/>
          <w:sz w:val="26"/>
          <w:szCs w:val="26"/>
          <w:lang w:val="en-US"/>
        </w:rPr>
        <w:t>-21</w:t>
      </w:r>
      <w:r w:rsidRPr="00CC1BF4">
        <w:rPr>
          <w:rFonts w:ascii="Garamond" w:hAnsi="Garamond"/>
          <w:sz w:val="26"/>
          <w:szCs w:val="26"/>
          <w:vertAlign w:val="superscript"/>
          <w:lang w:val="en-US"/>
        </w:rPr>
        <w:t>st</w:t>
      </w:r>
      <w:r>
        <w:rPr>
          <w:rFonts w:ascii="Garamond" w:hAnsi="Garamond"/>
          <w:sz w:val="26"/>
          <w:szCs w:val="26"/>
          <w:lang w:val="en-US"/>
        </w:rPr>
        <w:t xml:space="preserve">-century </w:t>
      </w:r>
      <w:r w:rsidRPr="006E66D4">
        <w:rPr>
          <w:rFonts w:ascii="Garamond" w:hAnsi="Garamond"/>
          <w:sz w:val="26"/>
          <w:szCs w:val="26"/>
          <w:lang w:val="en-US"/>
        </w:rPr>
        <w:t>philosophy of la</w:t>
      </w:r>
      <w:r>
        <w:rPr>
          <w:rFonts w:ascii="Garamond" w:hAnsi="Garamond"/>
          <w:sz w:val="26"/>
          <w:szCs w:val="26"/>
          <w:lang w:val="en-US"/>
        </w:rPr>
        <w:t xml:space="preserve">nguage (classic articles by Frege, Grice, </w:t>
      </w:r>
      <w:proofErr w:type="spellStart"/>
      <w:r>
        <w:rPr>
          <w:rFonts w:ascii="Garamond" w:hAnsi="Garamond"/>
          <w:sz w:val="26"/>
          <w:szCs w:val="26"/>
          <w:lang w:val="en-US"/>
        </w:rPr>
        <w:t>Kripke</w:t>
      </w:r>
      <w:proofErr w:type="spellEnd"/>
      <w:r>
        <w:rPr>
          <w:rFonts w:ascii="Garamond" w:hAnsi="Garamond"/>
          <w:sz w:val="26"/>
          <w:szCs w:val="26"/>
          <w:lang w:val="en-US"/>
        </w:rPr>
        <w:t xml:space="preserve">, </w:t>
      </w:r>
      <w:r w:rsidRPr="006E66D4">
        <w:rPr>
          <w:rFonts w:ascii="Garamond" w:hAnsi="Garamond"/>
          <w:sz w:val="26"/>
          <w:szCs w:val="26"/>
          <w:lang w:val="en-US"/>
        </w:rPr>
        <w:t>Strawson</w:t>
      </w:r>
      <w:r>
        <w:rPr>
          <w:rFonts w:ascii="Garamond" w:hAnsi="Garamond"/>
          <w:sz w:val="26"/>
          <w:szCs w:val="26"/>
          <w:lang w:val="en-US"/>
        </w:rPr>
        <w:t>, Austin, Searle, Putnam</w:t>
      </w:r>
      <w:r w:rsidRPr="006E66D4">
        <w:rPr>
          <w:rFonts w:ascii="Garamond" w:hAnsi="Garamond"/>
          <w:sz w:val="26"/>
          <w:szCs w:val="26"/>
          <w:lang w:val="en-US"/>
        </w:rPr>
        <w:t xml:space="preserve">), and a recent survey article on racism in language use (by Langton, </w:t>
      </w:r>
      <w:proofErr w:type="spellStart"/>
      <w:r w:rsidRPr="006E66D4">
        <w:rPr>
          <w:rFonts w:ascii="Garamond" w:hAnsi="Garamond"/>
          <w:sz w:val="26"/>
          <w:szCs w:val="26"/>
          <w:lang w:val="en-US"/>
        </w:rPr>
        <w:t>Haslanger</w:t>
      </w:r>
      <w:proofErr w:type="spellEnd"/>
      <w:r w:rsidRPr="006E66D4">
        <w:rPr>
          <w:rFonts w:ascii="Garamond" w:hAnsi="Garamond"/>
          <w:sz w:val="26"/>
          <w:szCs w:val="26"/>
          <w:lang w:val="en-US"/>
        </w:rPr>
        <w:t xml:space="preserve"> and Anderson), </w:t>
      </w:r>
      <w:r>
        <w:rPr>
          <w:rFonts w:ascii="Garamond" w:hAnsi="Garamond"/>
          <w:sz w:val="26"/>
          <w:szCs w:val="26"/>
          <w:lang w:val="en-US"/>
        </w:rPr>
        <w:t>one</w:t>
      </w:r>
      <w:r w:rsidRPr="006E66D4">
        <w:rPr>
          <w:rFonts w:ascii="Garamond" w:hAnsi="Garamond"/>
          <w:sz w:val="26"/>
          <w:szCs w:val="26"/>
          <w:lang w:val="en-US"/>
        </w:rPr>
        <w:t xml:space="preserve"> more reading</w:t>
      </w:r>
      <w:r>
        <w:rPr>
          <w:rFonts w:ascii="Garamond" w:hAnsi="Garamond"/>
          <w:sz w:val="26"/>
          <w:szCs w:val="26"/>
          <w:lang w:val="en-US"/>
        </w:rPr>
        <w:t xml:space="preserve"> will function as</w:t>
      </w:r>
      <w:r w:rsidRPr="006E66D4">
        <w:rPr>
          <w:rFonts w:ascii="Garamond" w:hAnsi="Garamond"/>
          <w:sz w:val="26"/>
          <w:szCs w:val="26"/>
          <w:lang w:val="en-US"/>
        </w:rPr>
        <w:t xml:space="preserve"> </w:t>
      </w:r>
      <w:r>
        <w:rPr>
          <w:rFonts w:ascii="Garamond" w:hAnsi="Garamond"/>
          <w:sz w:val="26"/>
          <w:szCs w:val="26"/>
          <w:lang w:val="en-US"/>
        </w:rPr>
        <w:t xml:space="preserve">a </w:t>
      </w:r>
      <w:r w:rsidRPr="006E66D4">
        <w:rPr>
          <w:rFonts w:ascii="Garamond" w:hAnsi="Garamond"/>
          <w:sz w:val="26"/>
          <w:szCs w:val="26"/>
          <w:lang w:val="en-US"/>
        </w:rPr>
        <w:t xml:space="preserve">textbook: </w:t>
      </w:r>
    </w:p>
    <w:p w14:paraId="134919C9" w14:textId="77777777" w:rsidR="003E3321" w:rsidRDefault="003E3321" w:rsidP="003E3321">
      <w:pPr>
        <w:jc w:val="both"/>
        <w:rPr>
          <w:rFonts w:ascii="Garamond" w:hAnsi="Garamond"/>
          <w:sz w:val="26"/>
          <w:szCs w:val="26"/>
          <w:lang w:val="en-US"/>
        </w:rPr>
      </w:pPr>
    </w:p>
    <w:p w14:paraId="766EFD12" w14:textId="77777777" w:rsidR="003E3321" w:rsidRDefault="003E3321" w:rsidP="003E3321">
      <w:pPr>
        <w:jc w:val="both"/>
        <w:rPr>
          <w:rFonts w:ascii="Garamond" w:hAnsi="Garamond"/>
          <w:sz w:val="26"/>
          <w:szCs w:val="26"/>
          <w:lang w:val="en-US"/>
        </w:rPr>
      </w:pPr>
      <w:r>
        <w:rPr>
          <w:rFonts w:ascii="Garamond" w:hAnsi="Garamond"/>
          <w:sz w:val="26"/>
          <w:szCs w:val="26"/>
          <w:lang w:val="en-US"/>
        </w:rPr>
        <w:t>W.</w:t>
      </w:r>
      <w:r w:rsidRPr="006E66D4">
        <w:rPr>
          <w:rFonts w:ascii="Garamond" w:hAnsi="Garamond"/>
          <w:sz w:val="26"/>
          <w:szCs w:val="26"/>
          <w:lang w:val="en-US"/>
        </w:rPr>
        <w:t xml:space="preserve"> Lycan (ed.) 2008: </w:t>
      </w:r>
      <w:r w:rsidRPr="006E66D4">
        <w:rPr>
          <w:rFonts w:ascii="Garamond" w:hAnsi="Garamond"/>
          <w:i/>
          <w:sz w:val="26"/>
          <w:szCs w:val="26"/>
          <w:lang w:val="en-US"/>
        </w:rPr>
        <w:t>Philosophy of Language: A Contemporary Introduction</w:t>
      </w:r>
      <w:r w:rsidRPr="006E66D4">
        <w:rPr>
          <w:rFonts w:ascii="Garamond" w:hAnsi="Garamond"/>
          <w:sz w:val="26"/>
          <w:szCs w:val="26"/>
          <w:lang w:val="en-US"/>
        </w:rPr>
        <w:t>, 2</w:t>
      </w:r>
      <w:r w:rsidRPr="006E66D4">
        <w:rPr>
          <w:rFonts w:ascii="Garamond" w:hAnsi="Garamond"/>
          <w:sz w:val="26"/>
          <w:szCs w:val="26"/>
          <w:vertAlign w:val="superscript"/>
          <w:lang w:val="en-US"/>
        </w:rPr>
        <w:t>nd</w:t>
      </w:r>
      <w:r w:rsidRPr="006E66D4">
        <w:rPr>
          <w:rFonts w:ascii="Garamond" w:hAnsi="Garamond"/>
          <w:sz w:val="26"/>
          <w:szCs w:val="26"/>
          <w:lang w:val="en-US"/>
        </w:rPr>
        <w:t xml:space="preserve"> edition. London: Routledge (referred to as ‘Lycan’ in the schedule below). Excerpts from selected chapters will be assigned.</w:t>
      </w:r>
    </w:p>
    <w:p w14:paraId="1AEF9F91" w14:textId="77777777" w:rsidR="003E3321" w:rsidRDefault="003E3321" w:rsidP="003E3321">
      <w:pPr>
        <w:jc w:val="both"/>
        <w:rPr>
          <w:rFonts w:ascii="Garamond" w:hAnsi="Garamond"/>
          <w:sz w:val="26"/>
          <w:szCs w:val="26"/>
          <w:lang w:val="en-US"/>
        </w:rPr>
      </w:pPr>
    </w:p>
    <w:p w14:paraId="75C9333F" w14:textId="77777777" w:rsidR="003E3321" w:rsidRDefault="003E3321" w:rsidP="003E3321">
      <w:pPr>
        <w:jc w:val="both"/>
        <w:rPr>
          <w:rFonts w:ascii="Garamond" w:hAnsi="Garamond"/>
          <w:sz w:val="26"/>
          <w:szCs w:val="26"/>
          <w:lang w:val="en-US"/>
        </w:rPr>
      </w:pPr>
      <w:r>
        <w:rPr>
          <w:rFonts w:ascii="Garamond" w:hAnsi="Garamond"/>
          <w:sz w:val="26"/>
          <w:szCs w:val="26"/>
          <w:lang w:val="en-US"/>
        </w:rPr>
        <w:t>In the process of discussing the central ideas of the classic articles, we’ll also reflect on limitations in  their scope and recent philosophical attempts at responding to those limitations.</w:t>
      </w:r>
    </w:p>
    <w:p w14:paraId="42BFF338" w14:textId="77777777" w:rsidR="003E3321" w:rsidRPr="006E66D4" w:rsidRDefault="003E3321" w:rsidP="003E3321">
      <w:pPr>
        <w:jc w:val="both"/>
        <w:rPr>
          <w:rFonts w:ascii="Garamond" w:hAnsi="Garamond"/>
          <w:sz w:val="26"/>
          <w:szCs w:val="26"/>
          <w:lang w:val="en-US"/>
        </w:rPr>
      </w:pPr>
    </w:p>
    <w:p w14:paraId="58E28495"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 xml:space="preserve">Electronic copies of all required readings are available in the </w:t>
      </w:r>
      <w:r w:rsidRPr="00912C5F">
        <w:rPr>
          <w:rFonts w:ascii="Garamond" w:hAnsi="Garamond"/>
          <w:sz w:val="26"/>
          <w:szCs w:val="26"/>
          <w:lang w:val="en-US"/>
        </w:rPr>
        <w:t xml:space="preserve">course’s Dropbox folder </w:t>
      </w:r>
      <w:r w:rsidRPr="006E66D4">
        <w:rPr>
          <w:rFonts w:ascii="Garamond" w:hAnsi="Garamond"/>
          <w:sz w:val="26"/>
          <w:szCs w:val="26"/>
          <w:lang w:val="en-US"/>
        </w:rPr>
        <w:t xml:space="preserve">for the course. The </w:t>
      </w:r>
      <w:r>
        <w:rPr>
          <w:rFonts w:ascii="Garamond" w:hAnsi="Garamond"/>
          <w:sz w:val="26"/>
          <w:szCs w:val="26"/>
          <w:lang w:val="en-US"/>
        </w:rPr>
        <w:t>classic</w:t>
      </w:r>
      <w:r w:rsidRPr="006E66D4">
        <w:rPr>
          <w:rFonts w:ascii="Garamond" w:hAnsi="Garamond"/>
          <w:sz w:val="26"/>
          <w:szCs w:val="26"/>
          <w:lang w:val="en-US"/>
        </w:rPr>
        <w:t xml:space="preserve"> texts (by Frege, Grice, </w:t>
      </w:r>
      <w:proofErr w:type="spellStart"/>
      <w:r w:rsidRPr="006E66D4">
        <w:rPr>
          <w:rFonts w:ascii="Garamond" w:hAnsi="Garamond"/>
          <w:sz w:val="26"/>
          <w:szCs w:val="26"/>
          <w:lang w:val="en-US"/>
        </w:rPr>
        <w:t>Kripke</w:t>
      </w:r>
      <w:proofErr w:type="spellEnd"/>
      <w:r w:rsidRPr="006E66D4">
        <w:rPr>
          <w:rFonts w:ascii="Garamond" w:hAnsi="Garamond"/>
          <w:sz w:val="26"/>
          <w:szCs w:val="26"/>
          <w:lang w:val="en-US"/>
        </w:rPr>
        <w:t xml:space="preserve"> and Strawson) can also be found in the following anthology: </w:t>
      </w:r>
    </w:p>
    <w:p w14:paraId="05052EC9" w14:textId="77777777" w:rsidR="003E3321" w:rsidRPr="006E66D4" w:rsidRDefault="003E3321" w:rsidP="003E3321">
      <w:pPr>
        <w:numPr>
          <w:ilvl w:val="0"/>
          <w:numId w:val="1"/>
        </w:numPr>
        <w:jc w:val="both"/>
        <w:rPr>
          <w:rFonts w:ascii="Garamond" w:hAnsi="Garamond"/>
          <w:sz w:val="26"/>
          <w:szCs w:val="26"/>
          <w:lang w:val="en-US"/>
        </w:rPr>
      </w:pPr>
      <w:r w:rsidRPr="006E66D4">
        <w:rPr>
          <w:rFonts w:ascii="Garamond" w:hAnsi="Garamond"/>
          <w:sz w:val="26"/>
          <w:szCs w:val="26"/>
          <w:lang w:val="en-US"/>
        </w:rPr>
        <w:t xml:space="preserve">P. </w:t>
      </w:r>
      <w:proofErr w:type="spellStart"/>
      <w:r w:rsidRPr="006E66D4">
        <w:rPr>
          <w:rFonts w:ascii="Garamond" w:hAnsi="Garamond"/>
          <w:sz w:val="26"/>
          <w:szCs w:val="26"/>
          <w:lang w:val="en-US"/>
        </w:rPr>
        <w:t>Martinich</w:t>
      </w:r>
      <w:proofErr w:type="spellEnd"/>
      <w:r w:rsidRPr="006E66D4">
        <w:rPr>
          <w:rFonts w:ascii="Garamond" w:hAnsi="Garamond"/>
          <w:sz w:val="26"/>
          <w:szCs w:val="26"/>
          <w:lang w:val="en-US"/>
        </w:rPr>
        <w:t xml:space="preserve"> and D. Sosa (eds.) 2012: </w:t>
      </w:r>
      <w:r w:rsidRPr="006E66D4">
        <w:rPr>
          <w:rFonts w:ascii="Garamond" w:hAnsi="Garamond"/>
          <w:i/>
          <w:sz w:val="26"/>
          <w:szCs w:val="26"/>
          <w:lang w:val="en-US"/>
        </w:rPr>
        <w:t>The Philosophy of Language</w:t>
      </w:r>
      <w:r w:rsidRPr="006E66D4">
        <w:rPr>
          <w:rFonts w:ascii="Garamond" w:hAnsi="Garamond"/>
          <w:sz w:val="26"/>
          <w:szCs w:val="26"/>
          <w:lang w:val="en-US"/>
        </w:rPr>
        <w:t>, 6</w:t>
      </w:r>
      <w:r w:rsidRPr="006E66D4">
        <w:rPr>
          <w:rFonts w:ascii="Garamond" w:hAnsi="Garamond"/>
          <w:sz w:val="26"/>
          <w:szCs w:val="26"/>
          <w:vertAlign w:val="superscript"/>
          <w:lang w:val="en-US"/>
        </w:rPr>
        <w:t>th</w:t>
      </w:r>
      <w:r w:rsidRPr="006E66D4">
        <w:rPr>
          <w:rFonts w:ascii="Garamond" w:hAnsi="Garamond"/>
          <w:sz w:val="26"/>
          <w:szCs w:val="26"/>
          <w:lang w:val="en-US"/>
        </w:rPr>
        <w:t xml:space="preserve"> edition</w:t>
      </w:r>
      <w:r w:rsidRPr="006E66D4">
        <w:rPr>
          <w:rFonts w:ascii="Garamond" w:hAnsi="Garamond"/>
          <w:i/>
          <w:sz w:val="26"/>
          <w:szCs w:val="26"/>
          <w:lang w:val="en-US"/>
        </w:rPr>
        <w:t xml:space="preserve">. </w:t>
      </w:r>
      <w:r w:rsidRPr="006E66D4">
        <w:rPr>
          <w:rFonts w:ascii="Garamond" w:hAnsi="Garamond"/>
          <w:sz w:val="26"/>
          <w:szCs w:val="26"/>
          <w:lang w:val="en-US"/>
        </w:rPr>
        <w:t>Oxford: OUP. (Previous editions are ok, except for Frege’s “Sense and Reference”, which appears in a different translation in earlier editions.)</w:t>
      </w:r>
    </w:p>
    <w:p w14:paraId="32E082A7" w14:textId="77777777" w:rsidR="003E3321" w:rsidRPr="006E66D4" w:rsidRDefault="003E3321" w:rsidP="003E3321">
      <w:pPr>
        <w:jc w:val="both"/>
        <w:rPr>
          <w:rFonts w:ascii="Garamond" w:hAnsi="Garamond"/>
          <w:sz w:val="26"/>
          <w:szCs w:val="26"/>
          <w:lang w:val="en-US"/>
        </w:rPr>
      </w:pPr>
    </w:p>
    <w:p w14:paraId="6A010BE5" w14:textId="77777777" w:rsidR="003E3321" w:rsidRPr="006E66D4" w:rsidRDefault="003E3321" w:rsidP="003E3321">
      <w:pPr>
        <w:jc w:val="both"/>
        <w:rPr>
          <w:rFonts w:ascii="Garamond" w:hAnsi="Garamond"/>
          <w:sz w:val="26"/>
          <w:szCs w:val="26"/>
          <w:lang w:val="en-US"/>
        </w:rPr>
      </w:pPr>
      <w:r w:rsidRPr="006E66D4">
        <w:rPr>
          <w:rFonts w:ascii="Garamond" w:hAnsi="Garamond"/>
          <w:sz w:val="26"/>
          <w:szCs w:val="26"/>
          <w:lang w:val="en-US"/>
        </w:rPr>
        <w:t>Langton–</w:t>
      </w:r>
      <w:proofErr w:type="spellStart"/>
      <w:r w:rsidRPr="006E66D4">
        <w:rPr>
          <w:rFonts w:ascii="Garamond" w:hAnsi="Garamond"/>
          <w:sz w:val="26"/>
          <w:szCs w:val="26"/>
          <w:lang w:val="en-US"/>
        </w:rPr>
        <w:t>Haslanger</w:t>
      </w:r>
      <w:proofErr w:type="spellEnd"/>
      <w:r w:rsidRPr="006E66D4">
        <w:rPr>
          <w:rFonts w:ascii="Garamond" w:hAnsi="Garamond"/>
          <w:sz w:val="26"/>
          <w:szCs w:val="26"/>
          <w:lang w:val="en-US"/>
        </w:rPr>
        <w:t>–Anderson’s survey article “Language and Race” can be found in the following anthology of essays:</w:t>
      </w:r>
    </w:p>
    <w:p w14:paraId="4532381E" w14:textId="77777777" w:rsidR="003E3321" w:rsidRPr="006E66D4" w:rsidRDefault="003E3321" w:rsidP="003E3321">
      <w:pPr>
        <w:numPr>
          <w:ilvl w:val="1"/>
          <w:numId w:val="2"/>
        </w:numPr>
        <w:jc w:val="both"/>
        <w:rPr>
          <w:rFonts w:ascii="Garamond" w:hAnsi="Garamond"/>
          <w:sz w:val="26"/>
          <w:szCs w:val="26"/>
          <w:lang w:val="en-US"/>
        </w:rPr>
      </w:pPr>
      <w:r w:rsidRPr="006E66D4">
        <w:rPr>
          <w:rFonts w:ascii="Garamond" w:hAnsi="Garamond"/>
          <w:sz w:val="26"/>
          <w:szCs w:val="26"/>
        </w:rPr>
        <w:t>G. Russell and D. G. Fara (</w:t>
      </w:r>
      <w:proofErr w:type="spellStart"/>
      <w:r w:rsidRPr="006E66D4">
        <w:rPr>
          <w:rFonts w:ascii="Garamond" w:hAnsi="Garamond"/>
          <w:sz w:val="26"/>
          <w:szCs w:val="26"/>
        </w:rPr>
        <w:t>eds</w:t>
      </w:r>
      <w:proofErr w:type="spellEnd"/>
      <w:r w:rsidRPr="006E66D4">
        <w:rPr>
          <w:rFonts w:ascii="Garamond" w:hAnsi="Garamond"/>
          <w:sz w:val="26"/>
          <w:szCs w:val="26"/>
        </w:rPr>
        <w:t>.) 2012:</w:t>
      </w:r>
      <w:r w:rsidRPr="006E66D4">
        <w:rPr>
          <w:rFonts w:ascii="Garamond" w:hAnsi="Garamond"/>
          <w:sz w:val="26"/>
          <w:szCs w:val="26"/>
          <w:lang w:val="en-US"/>
        </w:rPr>
        <w:t xml:space="preserve"> </w:t>
      </w:r>
      <w:r w:rsidRPr="006E66D4">
        <w:rPr>
          <w:rFonts w:ascii="Garamond" w:hAnsi="Garamond"/>
          <w:i/>
          <w:sz w:val="26"/>
          <w:szCs w:val="26"/>
          <w:lang w:val="en-US"/>
        </w:rPr>
        <w:t>Routledge Companion to the Philosophy of Language</w:t>
      </w:r>
      <w:r w:rsidRPr="006E66D4">
        <w:rPr>
          <w:rFonts w:ascii="Garamond" w:hAnsi="Garamond"/>
          <w:sz w:val="26"/>
          <w:szCs w:val="26"/>
          <w:lang w:val="en-US"/>
        </w:rPr>
        <w:t>. New York: Routledge.</w:t>
      </w:r>
    </w:p>
    <w:p w14:paraId="329FAE44" w14:textId="77777777" w:rsidR="003E3321" w:rsidRPr="0004437B" w:rsidRDefault="003E3321" w:rsidP="003E3321">
      <w:pPr>
        <w:ind w:right="-108"/>
        <w:jc w:val="both"/>
        <w:rPr>
          <w:rFonts w:ascii="Garamond" w:hAnsi="Garamond"/>
          <w:sz w:val="26"/>
          <w:szCs w:val="26"/>
          <w:lang w:val="en-US"/>
        </w:rPr>
      </w:pPr>
    </w:p>
    <w:p w14:paraId="32ED389A" w14:textId="77777777" w:rsidR="003E3321" w:rsidRPr="0004437B" w:rsidRDefault="003E3321" w:rsidP="003E3321">
      <w:pPr>
        <w:ind w:right="-108"/>
        <w:jc w:val="both"/>
        <w:rPr>
          <w:rFonts w:ascii="Garamond" w:hAnsi="Garamond"/>
          <w:sz w:val="26"/>
          <w:szCs w:val="26"/>
          <w:lang w:val="en-US"/>
        </w:rPr>
      </w:pPr>
      <w:r w:rsidRPr="0004437B">
        <w:rPr>
          <w:rFonts w:ascii="Garamond" w:hAnsi="Garamond"/>
          <w:sz w:val="26"/>
          <w:szCs w:val="26"/>
          <w:lang w:val="en-US"/>
        </w:rPr>
        <w:t xml:space="preserve">The bulk of the articles can also be found in the following anthology: </w:t>
      </w:r>
    </w:p>
    <w:p w14:paraId="2F3CE13E" w14:textId="7DAF9294" w:rsidR="0036422F" w:rsidRDefault="003E3321" w:rsidP="003E3321">
      <w:pPr>
        <w:ind w:right="-108"/>
        <w:jc w:val="both"/>
        <w:rPr>
          <w:rFonts w:ascii="Garamond" w:hAnsi="Garamond"/>
          <w:sz w:val="26"/>
          <w:szCs w:val="26"/>
          <w:lang w:val="en-US"/>
        </w:rPr>
      </w:pPr>
      <w:r w:rsidRPr="0004437B">
        <w:rPr>
          <w:rFonts w:ascii="Garamond" w:hAnsi="Garamond" w:cs="Garamond"/>
          <w:sz w:val="26"/>
          <w:szCs w:val="26"/>
          <w:lang w:val="en-US"/>
        </w:rPr>
        <w:t xml:space="preserve">–P. </w:t>
      </w:r>
      <w:proofErr w:type="spellStart"/>
      <w:r w:rsidRPr="0004437B">
        <w:rPr>
          <w:rFonts w:ascii="Garamond" w:hAnsi="Garamond" w:cs="Garamond"/>
          <w:sz w:val="26"/>
          <w:szCs w:val="26"/>
          <w:lang w:val="en-US"/>
        </w:rPr>
        <w:t>Martinich</w:t>
      </w:r>
      <w:proofErr w:type="spellEnd"/>
      <w:r w:rsidRPr="0004437B">
        <w:rPr>
          <w:rFonts w:ascii="Garamond" w:hAnsi="Garamond" w:cs="Garamond"/>
          <w:sz w:val="26"/>
          <w:szCs w:val="26"/>
          <w:lang w:val="en-US"/>
        </w:rPr>
        <w:t xml:space="preserve"> (ed.) 1996 : The Philosophy of Language. Oxford: OUP.</w:t>
      </w:r>
    </w:p>
    <w:p w14:paraId="53973DD0" w14:textId="6C2B2CC0" w:rsidR="003E3321" w:rsidRDefault="003E3321" w:rsidP="003E3321">
      <w:pPr>
        <w:ind w:right="-108"/>
        <w:jc w:val="both"/>
        <w:rPr>
          <w:rFonts w:ascii="Garamond" w:hAnsi="Garamond"/>
          <w:sz w:val="26"/>
          <w:szCs w:val="26"/>
          <w:lang w:val="en-US"/>
        </w:rPr>
      </w:pPr>
    </w:p>
    <w:p w14:paraId="4F60B9EF" w14:textId="63478312" w:rsidR="003E3321" w:rsidRPr="003E3321" w:rsidRDefault="003E3321" w:rsidP="003E3321">
      <w:pPr>
        <w:ind w:right="-108"/>
        <w:jc w:val="both"/>
        <w:rPr>
          <w:rFonts w:ascii="Garamond" w:hAnsi="Garamond"/>
          <w:b/>
          <w:bCs/>
          <w:sz w:val="26"/>
          <w:szCs w:val="26"/>
          <w:lang w:val="en-US"/>
        </w:rPr>
      </w:pPr>
      <w:r>
        <w:rPr>
          <w:rFonts w:ascii="Garamond" w:hAnsi="Garamond"/>
          <w:b/>
          <w:bCs/>
          <w:sz w:val="26"/>
          <w:szCs w:val="26"/>
          <w:lang w:val="en-US"/>
        </w:rPr>
        <w:t>Suggested further reading:</w:t>
      </w:r>
    </w:p>
    <w:sectPr w:rsidR="003E3321" w:rsidRPr="003E3321" w:rsidSect="008644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77A1"/>
    <w:multiLevelType w:val="hybridMultilevel"/>
    <w:tmpl w:val="3640AE88"/>
    <w:lvl w:ilvl="0" w:tplc="B27A6CB4">
      <w:start w:val="1"/>
      <w:numFmt w:val="bullet"/>
      <w:lvlText w:val=""/>
      <w:lvlJc w:val="left"/>
      <w:pPr>
        <w:tabs>
          <w:tab w:val="num" w:pos="360"/>
        </w:tabs>
        <w:ind w:left="360" w:hanging="360"/>
      </w:pPr>
      <w:rPr>
        <w:rFonts w:ascii="Wingdings" w:hAnsi="Wingdings" w:hint="default"/>
      </w:rPr>
    </w:lvl>
    <w:lvl w:ilvl="1" w:tplc="E7CAF4B2">
      <w:start w:val="1"/>
      <w:numFmt w:val="bullet"/>
      <w:lvlText w:val=""/>
      <w:lvlJc w:val="left"/>
      <w:pPr>
        <w:tabs>
          <w:tab w:val="num" w:pos="360"/>
        </w:tabs>
        <w:ind w:left="360" w:hanging="360"/>
      </w:pPr>
      <w:rPr>
        <w:rFonts w:ascii="Wingdings" w:hAnsi="Wingdings"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27D5970"/>
    <w:multiLevelType w:val="hybridMultilevel"/>
    <w:tmpl w:val="A75E3EEC"/>
    <w:lvl w:ilvl="0" w:tplc="B27A6CB4">
      <w:start w:val="1"/>
      <w:numFmt w:val="bullet"/>
      <w:lvlText w:val=""/>
      <w:lvlJc w:val="left"/>
      <w:pPr>
        <w:tabs>
          <w:tab w:val="num" w:pos="360"/>
        </w:tabs>
        <w:ind w:left="360" w:hanging="360"/>
      </w:pPr>
      <w:rPr>
        <w:rFonts w:ascii="Wingdings" w:hAnsi="Wingdings" w:hint="default"/>
      </w:rPr>
    </w:lvl>
    <w:lvl w:ilvl="1" w:tplc="AEFA59F2">
      <w:start w:val="1"/>
      <w:numFmt w:val="bullet"/>
      <w:lvlText w:val=""/>
      <w:lvlJc w:val="left"/>
      <w:pPr>
        <w:tabs>
          <w:tab w:val="num" w:pos="360"/>
        </w:tabs>
        <w:ind w:left="360" w:hanging="360"/>
      </w:pPr>
      <w:rPr>
        <w:rFonts w:ascii="Symbol" w:hAnsi="Symbol" w:hint="default"/>
        <w:color w:val="auto"/>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num w:numId="1" w16cid:durableId="524561383">
    <w:abstractNumId w:val="1"/>
  </w:num>
  <w:num w:numId="2" w16cid:durableId="161227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21"/>
    <w:rsid w:val="00214F93"/>
    <w:rsid w:val="003E3321"/>
    <w:rsid w:val="004C3328"/>
    <w:rsid w:val="00535245"/>
    <w:rsid w:val="008644E3"/>
    <w:rsid w:val="00B83818"/>
    <w:rsid w:val="00C92ACA"/>
    <w:rsid w:val="00E02784"/>
    <w:rsid w:val="00F77ED3"/>
    <w:rsid w:val="00FB368F"/>
    <w:rsid w:val="00FE008A"/>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21DAD04E"/>
  <w15:chartTrackingRefBased/>
  <w15:docId w15:val="{807D06CA-7843-D54C-94D4-F97A559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21"/>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Zsofia Zvolenszky</dc:creator>
  <cp:keywords/>
  <dc:description/>
  <cp:lastModifiedBy>Zsofia Zvolenszky</cp:lastModifiedBy>
  <cp:revision>2</cp:revision>
  <dcterms:created xsi:type="dcterms:W3CDTF">2025-02-07T13:28:00Z</dcterms:created>
  <dcterms:modified xsi:type="dcterms:W3CDTF">2025-02-07T13:28:00Z</dcterms:modified>
</cp:coreProperties>
</file>