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12" w:type="dxa"/>
        <w:jc w:val="start"/>
        <w:tblInd w:w="-1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/>
            </w:pPr>
            <w:r>
              <w:rPr>
                <w:rFonts w:eastAsia="Arial" w:ascii="Arial" w:hAnsi="Arial"/>
                <w:b/>
                <w:color w:val="000000"/>
              </w:rPr>
              <w:t>A kurzus kódja(i):</w:t>
            </w:r>
            <w:r>
              <w:rPr>
                <w:rFonts w:eastAsia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BMA-FILD-302.02</w:t>
            </w:r>
            <w:r>
              <w:rPr>
                <w:rFonts w:eastAsia="Arial" w:cs="Calibri" w:ascii="Arial" w:hAnsi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BBN-FIL18-302.02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/>
            </w:pPr>
            <w:r>
              <w:rPr>
                <w:rFonts w:eastAsia="Arial" w:ascii="Arial" w:hAnsi="Arial"/>
                <w:b/>
                <w:color w:val="000000"/>
              </w:rPr>
              <w:t>A kurzus megnevezése</w:t>
            </w:r>
            <w:r>
              <w:rPr>
                <w:rFonts w:eastAsia="Arial" w:ascii="Arial" w:hAnsi="Arial"/>
                <w:color w:val="000000"/>
              </w:rPr>
              <w:t>: Logika szeminárium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/>
            </w:pPr>
            <w:r>
              <w:rPr>
                <w:rFonts w:eastAsia="Arial" w:ascii="Arial" w:hAnsi="Arial"/>
                <w:b/>
                <w:color w:val="000000"/>
              </w:rPr>
              <w:t>A kurzus megnevezése angolul</w:t>
            </w:r>
            <w:r>
              <w:rPr>
                <w:rFonts w:eastAsia="Arial" w:ascii="Arial" w:hAnsi="Arial"/>
                <w:color w:val="000000"/>
              </w:rPr>
              <w:t>: Logic seminar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/>
            </w:pPr>
            <w:r>
              <w:rPr>
                <w:rFonts w:eastAsia="Arial" w:ascii="Arial" w:hAnsi="Arial"/>
                <w:b/>
                <w:color w:val="000000"/>
              </w:rPr>
              <w:t>A kurzus előadója</w:t>
            </w:r>
            <w:r>
              <w:rPr>
                <w:rFonts w:eastAsia="Arial" w:ascii="Arial" w:hAnsi="Arial"/>
                <w:color w:val="000000"/>
              </w:rPr>
              <w:t>: Gömöri Márton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  <w:t>Oktatás célja</w:t>
            </w:r>
            <w:r>
              <w:rPr>
                <w:rFonts w:eastAsia="Arial" w:ascii="Arial" w:hAnsi="Arial"/>
                <w:color w:val="000000"/>
              </w:rPr>
              <w:t>: A kurzus megismerteti a hallgatókat a formális logika alapfogalmaival, alapelveivel, és legegyszerűbb technikáival.</w:t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  <w:t xml:space="preserve">Tantárgy tartalma: 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Az anyag a következő témákat fedi le: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érvek és érvényes következtetés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deduktív és induktív definíciók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 xml:space="preserve">a </w:t>
            </w:r>
            <w:r>
              <w:rPr>
                <w:rFonts w:eastAsia="Arial" w:ascii="SFRM1200" w:hAnsi="SFRM1200"/>
                <w:color w:val="000000"/>
                <w:sz w:val="24"/>
              </w:rPr>
              <w:t xml:space="preserve">propozicionális 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logika nyelve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igazságfüggvényes szemantika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 xml:space="preserve">centrális logikai fogalmak a </w:t>
            </w:r>
            <w:r>
              <w:rPr>
                <w:rFonts w:eastAsia="Arial" w:ascii="SFRM1200" w:hAnsi="SFRM1200"/>
                <w:b w:val="false"/>
                <w:bCs w:val="false"/>
                <w:color w:val="000000"/>
                <w:sz w:val="24"/>
              </w:rPr>
              <w:t xml:space="preserve">propozicionális 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logikában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 xml:space="preserve">a </w:t>
            </w:r>
            <w:r>
              <w:rPr>
                <w:rFonts w:eastAsia="Arial" w:ascii="SFRM1200" w:hAnsi="SFRM1200"/>
                <w:b w:val="false"/>
                <w:bCs w:val="false"/>
                <w:color w:val="000000"/>
                <w:sz w:val="24"/>
              </w:rPr>
              <w:t>propozicionális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 xml:space="preserve"> korlátai, kvantifikáció és az 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elsőrendű logika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 xml:space="preserve"> nyelve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köznyelvi mondatok formalizálása a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z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 xml:space="preserve"> 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elsőrendű logika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 xml:space="preserve"> nyelvén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halmazok, függvények, relációk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az elsőrendű logika modelljei, formulák interpretációja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hanging="360" w:start="72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egyszerű következtetések vizsgálata az elsőrendű nyelven</w:t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  <w:t xml:space="preserve">Számonkérési és értékelési rendszere: 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A hallgatók a beadott házi feladatokra kapnak jegyet.</w:t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  <w:t>Kötelező irodalom:</w:t>
            </w:r>
          </w:p>
          <w:p>
            <w:pPr>
              <w:pStyle w:val="TextBody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bookmarkStart w:id="0" w:name="magicparlabel-2711"/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lang w:val="en-GB" w:eastAsia="hu-HU"/>
              </w:rPr>
              <w:t xml:space="preserve">P. D. Magnus and T. Button, </w:t>
            </w:r>
            <w:r>
              <w:rPr>
                <w:rStyle w:val="Emphasis"/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lang w:val="en-GB" w:eastAsia="hu-HU"/>
              </w:rPr>
              <w:t>forallx:Cambridge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lang w:val="en-GB" w:eastAsia="hu-HU"/>
              </w:rPr>
              <w:t>, 2017.</w:t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both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  <w:t>Ajánlott irodalom:</w:t>
            </w:r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hanging="0" w:start="0" w:end="0"/>
              <w:jc w:val="both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 xml:space="preserve">J. Barwise and J. Etchemendy, </w:t>
            </w:r>
            <w:r>
              <w:rPr>
                <w:rFonts w:eastAsia="Arial" w:ascii="Arial" w:hAnsi="Arial"/>
                <w:b w:val="false"/>
                <w:bCs w:val="false"/>
                <w:i/>
                <w:iCs/>
                <w:color w:val="000000"/>
                <w:lang w:val="en-GB"/>
              </w:rPr>
              <w:t>Language, Proof and Logic.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 xml:space="preserve"> CSLI Publications, 2011.</w:t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 xml:space="preserve">Ruzsa Imre, </w:t>
            </w:r>
            <w:r>
              <w:rPr>
                <w:rFonts w:eastAsia="Arial" w:ascii="Arial" w:hAnsi="Arial"/>
                <w:b w:val="false"/>
                <w:bCs w:val="false"/>
                <w:i/>
                <w:color w:val="000000"/>
              </w:rPr>
              <w:t>Bevezetés a modern logikába</w:t>
            </w: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. 2. kiadás. Osiris, 2000.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 xml:space="preserve">H. Halvorson, </w:t>
            </w:r>
            <w:r>
              <w:rPr>
                <w:rFonts w:eastAsia="Arial" w:ascii="Arial" w:hAnsi="Arial"/>
                <w:b w:val="false"/>
                <w:bCs w:val="false"/>
                <w:i/>
                <w:iCs/>
                <w:color w:val="000000"/>
                <w:lang w:val="en-GB"/>
              </w:rPr>
              <w:t>How Logic Works: A User's Guide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. Princeton, NJ: Princeton University Press, 2020.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 xml:space="preserve">I. Chiswell and W. Hodges,  </w:t>
            </w:r>
            <w:r>
              <w:rPr>
                <w:rFonts w:eastAsia="Arial" w:ascii="Arial" w:hAnsi="Arial"/>
                <w:b w:val="false"/>
                <w:bCs w:val="false"/>
                <w:i/>
                <w:iCs/>
                <w:color w:val="000000"/>
                <w:lang w:val="en-GB"/>
              </w:rPr>
              <w:t>Mathematical Logic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. Oxford University Press, 2007.</w:t>
            </w:r>
          </w:p>
          <w:p>
            <w:pPr>
              <w:pStyle w:val="Normal"/>
              <w:tabs>
                <w:tab w:val="clear" w:pos="708"/>
              </w:tabs>
              <w:ind w:hanging="0" w:start="0" w:end="0"/>
              <w:jc w:val="start"/>
              <w:rPr>
                <w:rFonts w:ascii="Arial" w:hAnsi="Arial" w:eastAsia="Arial"/>
                <w:color w:val="000000"/>
                <w:spacing w:val="-3"/>
              </w:rPr>
            </w:pPr>
            <w:r>
              <w:rPr>
                <w:rFonts w:eastAsia="Arial" w:ascii="Arial" w:hAnsi="Arial"/>
                <w:color w:val="000000"/>
                <w:spacing w:val="-3"/>
              </w:rPr>
            </w:r>
          </w:p>
        </w:tc>
      </w:tr>
    </w:tbl>
    <w:p>
      <w:pPr>
        <w:pStyle w:val="Normal"/>
        <w:ind w:hanging="0" w:start="0" w:end="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FRM1200">
    <w:charset w:val="01" w:characterSet="utf-8"/>
    <w:family w:val="auto"/>
    <w:pitch w:val="default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0" w:hAnsi="0" w:cs="0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hu-HU" w:eastAsia="hi-I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widowControl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Liberation Serif" w:cs="Liberation Serif"/>
      <w:color w:val="auto"/>
      <w:kern w:val="2"/>
      <w:sz w:val="28"/>
      <w:szCs w:val="24"/>
      <w:lang w:val="hu-HU" w:eastAsia="ar-SA" w:bidi="hi-IN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>
      <w:widowControl/>
      <w:suppressAutoHyphens w:val="true"/>
      <w:bidi w:val="0"/>
      <w:spacing w:lineRule="auto" w:line="276" w:before="0" w:after="140"/>
      <w:jc w:val="start"/>
      <w:textAlignment w:val="auto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hu-HU" w:eastAsia="ar-SA" w:bidi="hi-IN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start"/>
      <w:textAlignment w:val="auto"/>
    </w:pPr>
    <w:rPr>
      <w:rFonts w:ascii="Times New Roman" w:hAnsi="Times New Roman" w:eastAsia="Liberation Serif" w:cs="Liberation Serif"/>
      <w:i/>
      <w:iCs/>
      <w:color w:val="auto"/>
      <w:kern w:val="2"/>
      <w:sz w:val="24"/>
      <w:szCs w:val="24"/>
      <w:lang w:val="hu-HU" w:eastAsia="ar-SA" w:bidi="hi-IN"/>
    </w:rPr>
  </w:style>
  <w:style w:type="paragraph" w:styleId="Index">
    <w:name w:val="Index"/>
    <w:basedOn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hu-HU" w:eastAsia="ar-SA" w:bidi="hi-IN"/>
    </w:rPr>
  </w:style>
  <w:style w:type="paragraph" w:styleId="TextBody">
    <w:name w:val="Text Body"/>
    <w:basedOn w:val="Normal"/>
    <w:qFormat/>
    <w:pPr>
      <w:widowControl/>
      <w:suppressAutoHyphens w:val="true"/>
      <w:bidi w:val="0"/>
      <w:spacing w:lineRule="auto" w:line="276" w:before="0" w:after="140"/>
      <w:jc w:val="start"/>
      <w:textAlignment w:val="auto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hu-HU" w:eastAsia="ar-SA" w:bidi="hi-IN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Liberation Serif" w:cs="Liberation Serif"/>
      <w:color w:val="auto"/>
      <w:kern w:val="2"/>
      <w:sz w:val="20"/>
      <w:szCs w:val="24"/>
      <w:lang w:val="hu-HU" w:eastAsia="hi-IN" w:bidi="hi-IN"/>
    </w:rPr>
  </w:style>
  <w:style w:type="paragraph" w:styleId="ListParagraph">
    <w:name w:val="List Paragraph"/>
    <w:basedOn w:val="Normal"/>
    <w:qFormat/>
    <w:pPr>
      <w:widowControl/>
      <w:suppressAutoHyphens w:val="true"/>
      <w:bidi w:val="0"/>
      <w:spacing w:before="0" w:after="0"/>
      <w:ind w:start="720"/>
      <w:contextualSpacing/>
      <w:jc w:val="start"/>
      <w:textAlignment w:val="auto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hu-HU" w:eastAsia="ar-SA" w:bidi="hi-IN"/>
    </w:rPr>
  </w:style>
  <w:style w:type="paragraph" w:styleId="TableContents">
    <w:name w:val="Table Contents"/>
    <w:basedOn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hu-HU" w:eastAsia="ar-SA" w:bidi="hi-IN"/>
    </w:rPr>
  </w:style>
  <w:style w:type="paragraph" w:styleId="TableHeading">
    <w:name w:val="Table Heading"/>
    <w:basedOn w:val="TableContents"/>
    <w:qFormat/>
    <w:pPr>
      <w:widowControl/>
      <w:suppressAutoHyphens w:val="true"/>
      <w:bidi w:val="0"/>
      <w:jc w:val="center"/>
      <w:textAlignment w:val="auto"/>
    </w:pPr>
    <w:rPr>
      <w:rFonts w:ascii="Times New Roman" w:hAnsi="Times New Roman" w:eastAsia="Liberation Serif" w:cs="Liberation Serif"/>
      <w:b/>
      <w:bCs/>
      <w:color w:val="auto"/>
      <w:kern w:val="2"/>
      <w:sz w:val="24"/>
      <w:szCs w:val="24"/>
      <w:lang w:val="hu-H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LibreOffice/25.2.2.2$MacOSX_AARCH64 LibreOffice_project/7370d4be9e3cf6031a51beef54ff3bda878e3fac</Application>
  <AppVersion>15.0000</AppVersion>
  <Pages>1</Pages>
  <Words>177</Words>
  <Characters>1164</Characters>
  <CharactersWithSpaces>1308</CharactersWithSpaces>
  <Paragraphs>24</Paragraphs>
  <Company>Philolaos Publishing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2020-07-15T09:20:00Z</dcterms:created>
  <dc:creator>Janos Hardi</dc:creator>
  <dc:description/>
  <dc:language>en-US</dc:language>
  <cp:lastModifiedBy/>
  <dcterms:modified xsi:type="dcterms:W3CDTF">2025-09-06T07:20:55Z</dcterms:modified>
  <cp:revision>2</cp:revision>
  <dc:subject/>
  <dc:title>Syllabus-Minta: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