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hanging="0" w:start="0" w:end="0"/>
        <w:jc w:val="center"/>
        <w:rPr>
          <w:color w:val="000000"/>
        </w:rPr>
      </w:pPr>
      <w:r>
        <w:rPr>
          <w:rFonts w:eastAsia="Garamond" w:ascii="Garamond" w:hAnsi="Garamond"/>
          <w:b/>
          <w:color w:val="000000"/>
        </w:rPr>
        <w:t>COURSE DESCRIPTIONS</w:t>
      </w:r>
    </w:p>
    <w:p>
      <w:pPr>
        <w:pStyle w:val="NoSpacing"/>
        <w:ind w:hanging="0" w:start="0" w:end="0"/>
        <w:rPr>
          <w:rFonts w:ascii="Garamond" w:hAnsi="Garamond" w:eastAsia="Garamond"/>
          <w:color w:val="000000"/>
        </w:rPr>
      </w:pPr>
      <w:r>
        <w:rPr>
          <w:rFonts w:eastAsia="Garamond" w:ascii="Garamond" w:hAnsi="Garamond"/>
          <w:color w:val="000000"/>
        </w:rPr>
      </w:r>
    </w:p>
    <w:tbl>
      <w:tblPr>
        <w:tblW w:w="9212" w:type="dxa"/>
        <w:jc w:val="start"/>
        <w:tblInd w:w="-5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hanging="0" w:start="0" w:end="0"/>
              <w:jc w:val="start"/>
              <w:rPr>
                <w:lang w:val="en-GB"/>
              </w:rPr>
            </w:pP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Code of course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 BMI-ENGSEMIO-301, CCNM17-106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CCNM25-104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hanging="0" w:start="0" w:end="0"/>
              <w:jc w:val="start"/>
              <w:rPr>
                <w:lang w:val="en-GB"/>
              </w:rPr>
            </w:pP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Title of course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 Logic for semiotics and cognitive science students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ind w:hanging="0" w:start="0" w:end="0"/>
              <w:jc w:val="start"/>
              <w:rPr>
                <w:lang w:val="en-GB"/>
              </w:rPr>
            </w:pP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Lecturer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 Márton Gömöri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General aim of the course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jc w:val="start"/>
              <w:rPr>
                <w:color w:val="000000"/>
                <w:lang w:val="en-GB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 xml:space="preserve">This course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provides an introduction to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 xml:space="preserve"> formal logic for semiotics and cognitive science students.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rFonts w:ascii="Arial" w:hAnsi="Arial" w:eastAsia="Arial"/>
                <w:b w:val="false"/>
                <w:bCs w:val="false"/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</w:r>
          </w:p>
          <w:p>
            <w:pPr>
              <w:pStyle w:val="Te1e1e1e1ble1e1e1e1zattartalom"/>
              <w:widowControl w:val="false"/>
              <w:tabs>
                <w:tab w:val="clear" w:pos="708"/>
              </w:tabs>
              <w:spacing w:lineRule="auto" w:line="276" w:before="0" w:after="0"/>
              <w:ind w:hanging="0" w:start="0" w:end="0"/>
              <w:jc w:val="start"/>
              <w:rPr>
                <w:lang w:val="en-GB"/>
              </w:rPr>
            </w:pP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Content of the course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76" w:before="0" w:after="0"/>
              <w:jc w:val="start"/>
              <w:rPr>
                <w:color w:val="000000"/>
                <w:lang w:val="en-GB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Topics covered: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Arguments and argument hierarchies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The notion of valid inference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Enthymemes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The language of propositional logic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Formalizing ordinary language sentences in the language of propositional logic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Truth-functional semantics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jc w:val="start"/>
              <w:rPr>
                <w:color w:val="000000"/>
                <w:lang w:val="en-GB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Central logical notions in propositional logic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jc w:val="start"/>
              <w:rPr>
                <w:color w:val="000000"/>
                <w:lang w:val="en-GB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Limits of propositional logic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jc w:val="start"/>
              <w:rPr>
                <w:color w:val="000000"/>
                <w:lang w:val="en-GB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Quantification and determiners in ordinary language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The language of first-order logic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Formalizing ordinary language sentences in the language of first-order logic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Cs w:val="22"/>
                <w:lang w:val="en-GB" w:eastAsia="hu-HU"/>
              </w:rPr>
              <w:t>The epistemological problem of valid inference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Object language, metalanguage, and rule circularity</w:t>
            </w:r>
          </w:p>
          <w:p>
            <w:pPr>
              <w:pStyle w:val="TextBody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76" w:before="0" w:after="0"/>
              <w:ind w:hanging="283" w:start="707" w:end="0"/>
              <w:jc w:val="start"/>
              <w:rPr>
                <w:color w:val="000000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</w:rPr>
              <w:t>Inductive logic and probability</w:t>
            </w:r>
          </w:p>
          <w:p>
            <w:pPr>
              <w:pStyle w:val="Te1e1e1e1ble1e1e1e1zattartalom"/>
              <w:widowControl w:val="false"/>
              <w:tabs>
                <w:tab w:val="clear" w:pos="708"/>
              </w:tabs>
              <w:spacing w:lineRule="auto" w:line="276" w:before="0" w:after="0"/>
              <w:ind w:hanging="0" w:start="0" w:end="0"/>
              <w:jc w:val="start"/>
              <w:rPr>
                <w:lang w:val="en-GB"/>
              </w:rPr>
            </w:pPr>
            <w:r>
              <w:rPr>
                <w:color w:val="000000"/>
              </w:rPr>
              <w:br/>
            </w: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Grading criteria, specific requirements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</w:t>
            </w:r>
          </w:p>
          <w:p>
            <w:pPr>
              <w:pStyle w:val="Te1e1e1e1ble1e1e1e1zattartalom"/>
              <w:widowControl w:val="false"/>
              <w:tabs>
                <w:tab w:val="clear" w:pos="708"/>
              </w:tabs>
              <w:spacing w:lineRule="auto" w:line="276" w:before="0" w:after="0"/>
              <w:ind w:hanging="0" w:start="0" w:end="0"/>
              <w:jc w:val="start"/>
              <w:rPr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Grading is based on homeworks.</w:t>
            </w:r>
          </w:p>
          <w:p>
            <w:pPr>
              <w:pStyle w:val="Te1e1e1e1ble1e1e1e1zattartalom"/>
              <w:widowControl w:val="false"/>
              <w:tabs>
                <w:tab w:val="clear" w:pos="708"/>
              </w:tabs>
              <w:spacing w:lineRule="auto" w:line="276" w:before="0" w:after="0"/>
              <w:ind w:hanging="0" w:start="0" w:end="0"/>
              <w:jc w:val="start"/>
              <w:rPr>
                <w:rFonts w:ascii="Arial" w:hAnsi="Arial" w:eastAsia="Arial"/>
                <w:b w:val="false"/>
                <w:bCs w:val="false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Required reading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</w:t>
            </w:r>
          </w:p>
          <w:p>
            <w:pPr>
              <w:pStyle w:val="TextBody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bookmarkStart w:id="0" w:name="magicparlabel-2711"/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val="en-GB" w:eastAsia="hu-HU"/>
              </w:rPr>
              <w:t xml:space="preserve">P. D. Magnus and T. Button, </w:t>
            </w:r>
            <w:r>
              <w:rPr>
                <w:rStyle w:val="Emphasis"/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lang w:val="en-GB" w:eastAsia="hu-HU"/>
              </w:rPr>
              <w:t>forallx:Cambridge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lang w:val="en-GB" w:eastAsia="hu-HU"/>
              </w:rPr>
              <w:t>, 2017.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rFonts w:ascii="Arial" w:hAnsi="Arial" w:eastAsia="Arial"/>
                <w:b w:val="false"/>
                <w:bCs w:val="false"/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/>
                <w:bCs/>
                <w:color w:val="000000"/>
                <w:lang w:val="en-GB"/>
              </w:rPr>
              <w:t>Suggested further reading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J. Barwise and J. Etchemendy, </w:t>
            </w:r>
            <w:r>
              <w:rPr>
                <w:rFonts w:eastAsia="Arial" w:ascii="Arial" w:hAnsi="Arial"/>
                <w:b w:val="false"/>
                <w:bCs w:val="false"/>
                <w:i/>
                <w:iCs/>
                <w:color w:val="000000"/>
                <w:lang w:val="en-GB"/>
              </w:rPr>
              <w:t>Language, Proof and Logic.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 CSLI Publications, 2011.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H. Halvorson, </w:t>
            </w:r>
            <w:r>
              <w:rPr>
                <w:rFonts w:eastAsia="Arial" w:ascii="Arial" w:hAnsi="Arial"/>
                <w:b w:val="false"/>
                <w:bCs w:val="false"/>
                <w:i/>
                <w:iCs/>
                <w:color w:val="000000"/>
                <w:lang w:val="en-GB"/>
              </w:rPr>
              <w:t>How Logic Works: A User's Guide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. Princeton, NJ: Princeton University Press, 2020.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color w:val="000000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 xml:space="preserve">I. Chiswell and W. Hodges,  </w:t>
            </w:r>
            <w:r>
              <w:rPr>
                <w:rFonts w:eastAsia="Arial" w:ascii="Arial" w:hAnsi="Arial"/>
                <w:b w:val="false"/>
                <w:bCs w:val="false"/>
                <w:i/>
                <w:iCs/>
                <w:color w:val="000000"/>
                <w:lang w:val="en-GB"/>
              </w:rPr>
              <w:t>Mathematical Logic</w:t>
            </w:r>
            <w:r>
              <w:rPr>
                <w:rFonts w:eastAsia="Arial" w:ascii="Arial" w:hAnsi="Arial"/>
                <w:b w:val="false"/>
                <w:bCs w:val="false"/>
                <w:color w:val="000000"/>
                <w:lang w:val="en-GB"/>
              </w:rPr>
              <w:t>. Oxford University Press, 2007.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val="en-GB" w:eastAsia="en-GB"/>
              </w:rPr>
              <w:t xml:space="preserve">B. Skyrms: 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color w:val="000000"/>
                <w:sz w:val="22"/>
                <w:szCs w:val="22"/>
                <w:lang w:val="en-GB" w:eastAsia="en-GB"/>
              </w:rPr>
              <w:t>Choice and Chance: An Introduction to Inductive Logic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lang w:val="en-GB" w:eastAsia="en-GB"/>
              </w:rPr>
              <w:t>. Wadsworth, 2010.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0"/>
              <w:ind w:hanging="0" w:start="0" w:end="0"/>
              <w:jc w:val="start"/>
              <w:rPr>
                <w:rFonts w:ascii="Arial" w:hAnsi="Arial" w:eastAsia="Arial"/>
                <w:b w:val="false"/>
                <w:bCs w:val="false"/>
                <w:color w:val="0000FF"/>
                <w:lang w:val="en-GB"/>
              </w:rPr>
            </w:pPr>
            <w:r>
              <w:rPr>
                <w:rFonts w:eastAsia="Arial" w:ascii="Arial" w:hAnsi="Arial"/>
                <w:b w:val="false"/>
                <w:bCs w:val="false"/>
                <w:color w:val="0000FF"/>
                <w:lang w:val="en-GB"/>
              </w:rPr>
            </w:r>
          </w:p>
        </w:tc>
      </w:tr>
    </w:tbl>
    <w:p>
      <w:pPr>
        <w:pStyle w:val="NoSpacing"/>
        <w:widowControl w:val="false"/>
        <w:ind w:hanging="0" w:start="0" w:end="0"/>
        <w:rPr>
          <w:color w:val="000000"/>
        </w:rPr>
      </w:pPr>
      <w:r>
        <w:rPr>
          <w:color w:val="00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Garamond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0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rPr>
        <w:rFonts w:eastAsia="Calibri"/>
        <w:color w:val="000000"/>
      </w:rPr>
    </w:pPr>
    <w:r>
      <w:rPr>
        <w:rFonts w:eastAsia="Calibri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48" w:type="dxa"/>
      <w:jc w:val="start"/>
      <w:tblInd w:w="-567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196"/>
      <w:gridCol w:w="1814"/>
      <w:gridCol w:w="4338"/>
    </w:tblGrid>
    <w:tr>
      <w:trPr>
        <w:trHeight w:val="835" w:hRule="atLeast"/>
      </w:trPr>
      <w:tc>
        <w:tcPr>
          <w:tcW w:w="4196" w:type="dxa"/>
          <w:tcBorders/>
        </w:tcPr>
        <w:p>
          <w:pPr>
            <w:pStyle w:val="NoSpacing"/>
            <w:widowControl w:val="false"/>
            <w:tabs>
              <w:tab w:val="clear" w:pos="708"/>
            </w:tabs>
            <w:spacing w:lineRule="auto" w:line="252"/>
            <w:ind w:hanging="0" w:start="0" w:end="0"/>
            <w:jc w:val="start"/>
            <w:rPr>
              <w:color w:val="000000"/>
            </w:rPr>
          </w:pPr>
          <w:r>
            <w:rPr>
              <w:rFonts w:eastAsia="Garamond" w:ascii="Garamond" w:hAnsi="Garamond"/>
              <w:b/>
              <w:color w:val="000000"/>
              <w:sz w:val="18"/>
              <w:lang w:eastAsia="ar-SA"/>
            </w:rPr>
            <w:t>EÖTVÖS LORÁND TUDOMÁNYEGYETEM</w:t>
          </w:r>
        </w:p>
        <w:p>
          <w:pPr>
            <w:pStyle w:val="NoSpacing"/>
            <w:widowControl w:val="false"/>
            <w:tabs>
              <w:tab w:val="clear" w:pos="708"/>
            </w:tabs>
            <w:spacing w:lineRule="auto" w:line="252"/>
            <w:ind w:hanging="0" w:start="0" w:end="0"/>
            <w:jc w:val="start"/>
            <w:rPr>
              <w:color w:val="000000"/>
            </w:rPr>
          </w:pPr>
          <w:r>
            <w:rPr>
              <w:rFonts w:eastAsia="Garamond" w:ascii="Garamond" w:hAnsi="Garamond"/>
              <w:b/>
              <w:color w:val="000000"/>
              <w:spacing w:val="20"/>
              <w:sz w:val="18"/>
              <w:lang w:eastAsia="ar-SA"/>
            </w:rPr>
            <w:t>Bölcsészettudományi Kar</w:t>
          </w:r>
        </w:p>
        <w:p>
          <w:pPr>
            <w:pStyle w:val="NoSpacing"/>
            <w:widowControl w:val="false"/>
            <w:tabs>
              <w:tab w:val="clear" w:pos="708"/>
            </w:tabs>
            <w:spacing w:lineRule="auto" w:line="252"/>
            <w:ind w:hanging="0" w:start="0" w:end="0"/>
            <w:jc w:val="start"/>
            <w:rPr/>
          </w:pPr>
          <w:r>
            <w:rPr>
              <w:rFonts w:eastAsia="Garamond" w:ascii="Garamond" w:hAnsi="Garamond"/>
              <w:color w:val="000000"/>
              <w:sz w:val="18"/>
              <w:lang w:eastAsia="ar-SA"/>
            </w:rPr>
            <w:t>Email: incoming@btk.elte.hu</w:t>
          </w:r>
        </w:p>
      </w:tc>
      <w:tc>
        <w:tcPr>
          <w:tcW w:w="1814" w:type="dxa"/>
          <w:tcBorders/>
          <w:vAlign w:val="center"/>
        </w:tcPr>
        <w:p>
          <w:pPr>
            <w:pStyle w:val="NoSpacing"/>
            <w:widowControl w:val="false"/>
            <w:tabs>
              <w:tab w:val="clear" w:pos="708"/>
              <w:tab w:val="right" w:pos="9639" w:leader="none"/>
            </w:tabs>
            <w:spacing w:lineRule="auto" w:line="252" w:before="0" w:after="160"/>
            <w:ind w:hanging="0" w:start="0" w:end="0"/>
            <w:jc w:val="center"/>
            <w:rPr>
              <w:rFonts w:ascii="Garamond" w:hAnsi="Garamond" w:eastAsia="Garamond"/>
              <w:b/>
              <w:smallCaps/>
              <w:color w:val="000000"/>
              <w:lang w:eastAsia="ar-SA"/>
            </w:rPr>
          </w:pPr>
          <w:r>
            <w:rPr>
              <w:rFonts w:eastAsia="Garamond" w:ascii="Garamond" w:hAnsi="Garamond"/>
              <w:b/>
              <w:smallCaps/>
              <w:color w:val="000000"/>
              <w:lang w:eastAsia="ar-SA"/>
            </w:rPr>
          </w:r>
        </w:p>
      </w:tc>
      <w:tc>
        <w:tcPr>
          <w:tcW w:w="4338" w:type="dxa"/>
          <w:tcBorders/>
        </w:tcPr>
        <w:p>
          <w:pPr>
            <w:pStyle w:val="NoSpacing"/>
            <w:widowControl w:val="false"/>
            <w:tabs>
              <w:tab w:val="clear" w:pos="708"/>
            </w:tabs>
            <w:spacing w:lineRule="auto" w:line="252"/>
            <w:ind w:hanging="0" w:start="0" w:end="0"/>
            <w:jc w:val="end"/>
            <w:rPr>
              <w:color w:val="000000"/>
            </w:rPr>
          </w:pPr>
          <w:r>
            <w:rPr>
              <w:rFonts w:eastAsia="Garamond" w:ascii="Garamond" w:hAnsi="Garamond"/>
              <w:b/>
              <w:color w:val="000000"/>
              <w:sz w:val="18"/>
              <w:lang w:eastAsia="ar-SA"/>
            </w:rPr>
            <w:t>EÖTVÖS LORÁND UNIVERSITY</w:t>
          </w:r>
        </w:p>
        <w:p>
          <w:pPr>
            <w:pStyle w:val="NoSpacing"/>
            <w:widowControl w:val="false"/>
            <w:tabs>
              <w:tab w:val="clear" w:pos="708"/>
            </w:tabs>
            <w:spacing w:lineRule="auto" w:line="252"/>
            <w:ind w:hanging="0" w:start="0" w:end="0"/>
            <w:jc w:val="end"/>
            <w:rPr>
              <w:color w:val="000000"/>
            </w:rPr>
          </w:pPr>
          <w:r>
            <w:rPr>
              <w:rFonts w:eastAsia="Garamond" w:ascii="Garamond" w:hAnsi="Garamond"/>
              <w:b/>
              <w:color w:val="000000"/>
              <w:spacing w:val="20"/>
              <w:sz w:val="18"/>
              <w:lang w:eastAsia="ar-SA"/>
            </w:rPr>
            <w:t>Faculty of Humanitie</w:t>
          </w:r>
          <w:r>
            <w:rPr>
              <w:rFonts w:eastAsia="Garamond" w:ascii="Garamond" w:hAnsi="Garamond"/>
              <w:b/>
              <w:color w:val="000000"/>
              <w:sz w:val="18"/>
              <w:lang w:eastAsia="ar-SA"/>
            </w:rPr>
            <w:t>s</w:t>
          </w:r>
        </w:p>
        <w:p>
          <w:pPr>
            <w:pStyle w:val="NoSpacing"/>
            <w:widowControl w:val="false"/>
            <w:tabs>
              <w:tab w:val="clear" w:pos="708"/>
            </w:tabs>
            <w:spacing w:lineRule="auto" w:line="252"/>
            <w:ind w:hanging="0" w:start="0" w:end="0"/>
            <w:jc w:val="end"/>
            <w:rPr/>
          </w:pPr>
          <w:r>
            <w:rPr>
              <w:rFonts w:eastAsia="Garamond" w:ascii="Garamond" w:hAnsi="Garamond"/>
              <w:color w:val="000000"/>
              <w:sz w:val="18"/>
              <w:lang w:eastAsia="ar-SA"/>
            </w:rPr>
            <w:t>E-mail: incoming@btk.elte.hu</w:t>
          </w:r>
        </w:p>
      </w:tc>
    </w:tr>
  </w:tbl>
  <w:p>
    <w:pPr>
      <w:pStyle w:val="Header"/>
      <w:widowControl w:val="false"/>
      <w:spacing w:lineRule="auto" w:line="240"/>
      <w:ind w:hanging="0" w:start="0" w:end="0"/>
      <w:rPr>
        <w:rFonts w:eastAsia="Calibri"/>
        <w:color w:val="000000"/>
      </w:rPr>
    </w:pPr>
    <w:r>
      <w:rPr>
        <w:rFonts w:eastAsia="Calibri"/>
        <w:color w:val="00000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2412365</wp:posOffset>
          </wp:positionH>
          <wp:positionV relativeFrom="paragraph">
            <wp:posOffset>-829310</wp:posOffset>
          </wp:positionV>
          <wp:extent cx="930910" cy="93091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707" w:hanging="283"/>
      </w:pPr>
      <w:rPr>
        <w:rFonts w:ascii="0" w:hAnsi="0" w:cs="0" w:hint="default"/>
      </w:rPr>
    </w:lvl>
    <w:lvl w:ilvl="1">
      <w:start w:val="1"/>
      <w:numFmt w:val="bullet"/>
      <w:lvlText w:val="•"/>
      <w:lvlJc w:val="start"/>
      <w:pPr>
        <w:tabs>
          <w:tab w:val="num" w:pos="0"/>
        </w:tabs>
        <w:ind w:start="1414" w:hanging="283"/>
      </w:pPr>
      <w:rPr>
        <w:rFonts w:ascii="0" w:hAnsi="0" w:cs="0" w:hint="default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2121" w:hanging="283"/>
      </w:pPr>
      <w:rPr>
        <w:rFonts w:ascii="0" w:hAnsi="0" w:cs="0" w:hint="default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828" w:hanging="283"/>
      </w:pPr>
      <w:rPr>
        <w:rFonts w:ascii="0" w:hAnsi="0" w:cs="0" w:hint="default"/>
      </w:rPr>
    </w:lvl>
    <w:lvl w:ilvl="4">
      <w:start w:val="1"/>
      <w:numFmt w:val="bullet"/>
      <w:lvlText w:val="•"/>
      <w:lvlJc w:val="start"/>
      <w:pPr>
        <w:tabs>
          <w:tab w:val="num" w:pos="0"/>
        </w:tabs>
        <w:ind w:start="3535" w:hanging="283"/>
      </w:pPr>
      <w:rPr>
        <w:rFonts w:ascii="0" w:hAnsi="0" w:cs="0" w:hint="default"/>
      </w:rPr>
    </w:lvl>
    <w:lvl w:ilvl="5">
      <w:start w:val="1"/>
      <w:numFmt w:val="bullet"/>
      <w:lvlText w:val="•"/>
      <w:lvlJc w:val="start"/>
      <w:pPr>
        <w:tabs>
          <w:tab w:val="num" w:pos="0"/>
        </w:tabs>
        <w:ind w:start="4242" w:hanging="283"/>
      </w:pPr>
      <w:rPr>
        <w:rFonts w:ascii="0" w:hAnsi="0" w:cs="0" w:hint="default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949" w:hanging="283"/>
      </w:pPr>
      <w:rPr>
        <w:rFonts w:ascii="0" w:hAnsi="0" w:cs="0" w:hint="default"/>
      </w:rPr>
    </w:lvl>
    <w:lvl w:ilvl="7">
      <w:start w:val="1"/>
      <w:numFmt w:val="bullet"/>
      <w:lvlText w:val="•"/>
      <w:lvlJc w:val="start"/>
      <w:pPr>
        <w:tabs>
          <w:tab w:val="num" w:pos="0"/>
        </w:tabs>
        <w:ind w:start="5656" w:hanging="283"/>
      </w:pPr>
      <w:rPr>
        <w:rFonts w:ascii="0" w:hAnsi="0" w:cs="0" w:hint="default"/>
      </w:rPr>
    </w:lvl>
    <w:lvl w:ilvl="8">
      <w:start w:val="1"/>
      <w:numFmt w:val="bullet"/>
      <w:lvlText w:val="•"/>
      <w:lvlJc w:val="start"/>
      <w:pPr>
        <w:tabs>
          <w:tab w:val="num" w:pos="0"/>
        </w:tabs>
        <w:ind w:start="6363" w:hanging="283"/>
      </w:pPr>
      <w:rPr>
        <w:rFonts w:ascii="0" w:hAnsi="0" w:cs="0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hi-IN" w:bidi="hi-IN"/>
    </w:rPr>
  </w:style>
  <w:style w:type="character" w:styleId="DefaultParagraphFont">
    <w:name w:val="Default Paragraph Font"/>
    <w:qFormat/>
    <w:rPr/>
  </w:style>
  <w:style w:type="character" w:styleId="lfejChar">
    <w:name w:val="Élőfej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llbChar">
    <w:name w:val="Élőláb Cha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angsfafafafalyoze1e1e1e1s">
    <w:name w:val="Hangsúfafafafalyozáe1e1e1e1s"/>
    <w:qFormat/>
    <w:rPr>
      <w:i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widowControl/>
      <w:suppressAutoHyphens w:val="true"/>
      <w:bidi w:val="0"/>
      <w:spacing w:lineRule="auto" w:line="252" w:before="240" w:after="120"/>
      <w:jc w:val="start"/>
      <w:textAlignment w:val="auto"/>
    </w:pPr>
    <w:rPr>
      <w:rFonts w:ascii="Liberation Sans" w:hAnsi="Liberation Sans" w:eastAsia="Liberation Serif" w:cs="Liberation Serif"/>
      <w:color w:val="auto"/>
      <w:kern w:val="2"/>
      <w:sz w:val="28"/>
      <w:szCs w:val="24"/>
      <w:lang w:val="hu-HU" w:eastAsia="ar-SA" w:bidi="hi-IN"/>
    </w:rPr>
  </w:style>
  <w:style w:type="paragraph" w:styleId="BodyText">
    <w:name w:val="Body Text"/>
    <w:basedOn w:val="Normal"/>
    <w:pPr>
      <w:widowControl/>
      <w:suppressAutoHyphens w:val="true"/>
      <w:bidi w:val="0"/>
      <w:spacing w:lineRule="auto" w:line="276" w:before="0" w:after="14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hi-IN" w:bidi="hi-IN"/>
    </w:rPr>
  </w:style>
  <w:style w:type="paragraph" w:styleId="List">
    <w:name w:val="List"/>
    <w:basedOn w:val="BodyText"/>
    <w:pPr>
      <w:widowControl/>
      <w:suppressAutoHyphens w:val="true"/>
      <w:bidi w:val="0"/>
      <w:spacing w:lineRule="exact" w:line="276" w:before="0" w:after="14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lineRule="auto" w:line="252" w:before="120" w:after="120"/>
      <w:jc w:val="start"/>
      <w:textAlignment w:val="auto"/>
    </w:pPr>
    <w:rPr>
      <w:rFonts w:ascii="Calibri" w:hAnsi="Calibri" w:eastAsia="Liberation Serif" w:cs="Liberation Serif"/>
      <w:i/>
      <w:iCs/>
      <w:color w:val="auto"/>
      <w:kern w:val="2"/>
      <w:sz w:val="24"/>
      <w:szCs w:val="24"/>
      <w:lang w:val="hu-HU" w:eastAsia="ar-SA" w:bidi="hi-IN"/>
    </w:rPr>
  </w:style>
  <w:style w:type="paragraph" w:styleId="Index">
    <w:name w:val="Index"/>
    <w:basedOn w:val="Normal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TextBody">
    <w:name w:val="Text Body"/>
    <w:basedOn w:val="Normal"/>
    <w:qFormat/>
    <w:pPr>
      <w:widowControl/>
      <w:suppressAutoHyphens w:val="true"/>
      <w:bidi w:val="0"/>
      <w:spacing w:lineRule="exact" w:line="276" w:before="0" w:after="14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hi-IN" w:bidi="hi-IN"/>
    </w:rPr>
  </w:style>
  <w:style w:type="paragraph" w:styleId="HeaderandFooter">
    <w:name w:val="Header and Footer"/>
    <w:basedOn w:val="Normal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hi-IN" w:bidi="hi-IN"/>
    </w:rPr>
  </w:style>
  <w:style w:type="paragraph" w:styleId="TableGrid">
    <w:name w:val="Table Grid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GridTable4Accent6">
    <w:name w:val="Grid Table 4 Accent 6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GridTable5DarkAccent2">
    <w:name w:val="Grid Table 5 Dark Accent 2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ELTEBTK">
    <w:name w:val="ELTE BTK"/>
    <w:qFormat/>
    <w:pPr>
      <w:widowControl w:val="false"/>
      <w:suppressAutoHyphens w:val="true"/>
      <w:bidi w:val="0"/>
      <w:spacing w:lineRule="auto" w:line="240" w:before="0" w:after="0"/>
      <w:jc w:val="center"/>
    </w:pPr>
    <w:rPr>
      <w:rFonts w:ascii="Garamond" w:hAnsi="Garamond" w:eastAsia="Liberation Serif" w:cs="Liberation Serif"/>
      <w:color w:val="000000"/>
      <w:kern w:val="2"/>
      <w:sz w:val="20"/>
      <w:szCs w:val="24"/>
      <w:lang w:val="en-US" w:eastAsia="hi-IN" w:bidi="hi-IN"/>
    </w:rPr>
  </w:style>
  <w:style w:type="paragraph" w:styleId="GridTable1LightAccent5">
    <w:name w:val="Grid Table 1 Light Accent 5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GridTable4">
    <w:name w:val="Grid Table 4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TableList1">
    <w:name w:val="Table List 1"/>
    <w:basedOn w:val="DocumentMap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GridTable4Accent1">
    <w:name w:val="Grid Table 4 Accent 1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GridTable6Colorful">
    <w:name w:val="Grid Table 6 Colorful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hu-HU" w:eastAsia="ar-SA" w:bidi="hi-IN"/>
    </w:rPr>
  </w:style>
  <w:style w:type="paragraph" w:styleId="ListTable6Colorful">
    <w:name w:val="List Table 6 Colorful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hu-HU" w:eastAsia="ar-SA" w:bidi="hi-IN"/>
    </w:rPr>
  </w:style>
  <w:style w:type="paragraph" w:styleId="ELTEBTK1">
    <w:name w:val="ELTE BTK1"/>
    <w:basedOn w:val="GridTable4"/>
    <w:qFormat/>
    <w:pPr>
      <w:widowControl/>
      <w:suppressAutoHyphens w:val="true"/>
      <w:bidi w:val="0"/>
      <w:spacing w:lineRule="exact" w:line="240" w:before="0" w:after="0"/>
      <w:jc w:val="center"/>
      <w:textAlignment w:val="auto"/>
    </w:pPr>
    <w:rPr>
      <w:rFonts w:ascii="Garamond" w:hAnsi="Garamond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GridTable5DarkAccent3">
    <w:name w:val="Grid Table 5 Dark Accent 3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GridTable4Accent3">
    <w:name w:val="Grid Table 4 Accent 3"/>
    <w:basedOn w:val="DocumentMap"/>
    <w:qFormat/>
    <w:pPr>
      <w:widowControl/>
      <w:suppressAutoHyphens w:val="true"/>
      <w:bidi w:val="0"/>
      <w:spacing w:lineRule="exact" w:line="240" w:before="0" w:after="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Te1e1e1e1ble1e1e1e1zattartalom">
    <w:name w:val="Táe1e1e1e1bláe1e1e1e1zattartalom"/>
    <w:basedOn w:val="Normal"/>
    <w:qFormat/>
    <w:pPr>
      <w:widowControl/>
      <w:suppressAutoHyphens w:val="true"/>
      <w:bidi w:val="0"/>
      <w:spacing w:lineRule="exact" w:line="276" w:before="0" w:after="200"/>
      <w:jc w:val="star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hu-HU" w:eastAsia="hi-IN" w:bidi="hi-IN"/>
    </w:rPr>
  </w:style>
  <w:style w:type="paragraph" w:styleId="TableContents">
    <w:name w:val="Table Contents"/>
    <w:basedOn w:val="Normal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Liberation Serif" w:cs="Liberation Serif"/>
      <w:color w:val="auto"/>
      <w:kern w:val="2"/>
      <w:sz w:val="22"/>
      <w:szCs w:val="24"/>
      <w:lang w:val="hu-HU" w:eastAsia="ar-SA" w:bidi="hi-IN"/>
    </w:rPr>
  </w:style>
  <w:style w:type="paragraph" w:styleId="TableHeading">
    <w:name w:val="Table Heading"/>
    <w:basedOn w:val="TableContents"/>
    <w:qFormat/>
    <w:pPr>
      <w:widowControl/>
      <w:suppressAutoHyphens w:val="true"/>
      <w:bidi w:val="0"/>
      <w:spacing w:lineRule="auto" w:line="252" w:before="0" w:after="160"/>
      <w:jc w:val="center"/>
      <w:textAlignment w:val="auto"/>
    </w:pPr>
    <w:rPr>
      <w:rFonts w:ascii="Calibri" w:hAnsi="Calibri" w:eastAsia="Liberation Serif" w:cs="Liberation Serif"/>
      <w:b/>
      <w:bCs/>
      <w:color w:val="auto"/>
      <w:kern w:val="2"/>
      <w:sz w:val="22"/>
      <w:szCs w:val="24"/>
      <w:lang w:val="hu-H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LibreOffice/25.2.2.2$MacOSX_AARCH64 LibreOffice_project/7370d4be9e3cf6031a51beef54ff3bda878e3fac</Application>
  <AppVersion>15.0000</AppVersion>
  <Pages>1</Pages>
  <Words>220</Words>
  <Characters>1398</Characters>
  <CharactersWithSpaces>1569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2020-04-21T17:07:00Z</dcterms:created>
  <dc:creator>Katja</dc:creator>
  <dc:description/>
  <dc:language>en-US</dc:language>
  <cp:lastModifiedBy/>
  <dcterms:modified xsi:type="dcterms:W3CDTF">2025-09-06T07:27:26Z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Gergely Ambrus</vt:lpwstr>
  </property>
</Properties>
</file>