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2D32" w14:textId="7BED4F64" w:rsidR="001318AD" w:rsidRDefault="000A63E5" w:rsidP="000A63E5">
      <w:pPr>
        <w:spacing w:after="0" w:line="240" w:lineRule="auto"/>
      </w:pPr>
      <w:r w:rsidRPr="000A63E5">
        <w:t>Formális nyelvészet I.: Pragmatizmus</w:t>
      </w:r>
    </w:p>
    <w:p w14:paraId="0C2BF3D0" w14:textId="3E3DEC19" w:rsidR="000A63E5" w:rsidRDefault="000A63E5" w:rsidP="000A63E5">
      <w:pPr>
        <w:spacing w:after="0" w:line="240" w:lineRule="auto"/>
      </w:pPr>
      <w:r w:rsidRPr="000A63E5">
        <w:t>BMI-LOTD-414E.07</w:t>
      </w:r>
    </w:p>
    <w:p w14:paraId="6724E071" w14:textId="77777777" w:rsidR="000A63E5" w:rsidRDefault="000A63E5" w:rsidP="000A63E5">
      <w:pPr>
        <w:spacing w:after="0" w:line="240" w:lineRule="auto"/>
      </w:pPr>
    </w:p>
    <w:p w14:paraId="3A43139E" w14:textId="77777777" w:rsidR="000A63E5" w:rsidRDefault="000A63E5" w:rsidP="000A63E5">
      <w:pPr>
        <w:spacing w:after="0" w:line="240" w:lineRule="auto"/>
      </w:pPr>
    </w:p>
    <w:p w14:paraId="0833CC24" w14:textId="28CDA714" w:rsidR="000A63E5" w:rsidRDefault="000A63E5" w:rsidP="000A63E5">
      <w:pPr>
        <w:spacing w:after="0" w:line="240" w:lineRule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an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pragmatism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20</w:t>
      </w:r>
      <w:r w:rsidRPr="000A63E5">
        <w:rPr>
          <w:vertAlign w:val="superscript"/>
        </w:rPr>
        <w:t>th</w:t>
      </w:r>
      <w:r>
        <w:t xml:space="preserve"> </w:t>
      </w:r>
      <w:proofErr w:type="spellStart"/>
      <w:r>
        <w:t>century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is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metaphysics</w:t>
      </w:r>
      <w:proofErr w:type="spellEnd"/>
      <w:r>
        <w:t xml:space="preserve">, </w:t>
      </w:r>
      <w:proofErr w:type="spellStart"/>
      <w:r>
        <w:t>epistemology</w:t>
      </w:r>
      <w:proofErr w:type="spellEnd"/>
      <w:r>
        <w:t xml:space="preserve">,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etc. The </w:t>
      </w:r>
      <w:proofErr w:type="spellStart"/>
      <w:r>
        <w:t>format</w:t>
      </w:r>
      <w:proofErr w:type="spellEnd"/>
      <w:r>
        <w:t xml:space="preserve"> is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 and </w:t>
      </w:r>
      <w:proofErr w:type="spellStart"/>
      <w:r>
        <w:t>discussions</w:t>
      </w:r>
      <w:proofErr w:type="spellEnd"/>
      <w:r>
        <w:t xml:space="preserve"> of a main text </w:t>
      </w:r>
      <w:proofErr w:type="spellStart"/>
      <w:r>
        <w:t>on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occasion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further</w:t>
      </w:r>
      <w:proofErr w:type="spellEnd"/>
      <w:r>
        <w:t xml:space="preserve"> </w:t>
      </w:r>
      <w:proofErr w:type="gramStart"/>
      <w:r>
        <w:t>non-</w:t>
      </w:r>
      <w:proofErr w:type="spellStart"/>
      <w:r>
        <w:t>mandatory</w:t>
      </w:r>
      <w:proofErr w:type="spellEnd"/>
      <w:proofErr w:type="gramEnd"/>
      <w:r>
        <w:t xml:space="preserve"> text </w:t>
      </w:r>
      <w:proofErr w:type="spellStart"/>
      <w:r>
        <w:t>for</w:t>
      </w:r>
      <w:proofErr w:type="spellEnd"/>
      <w:r>
        <w:t xml:space="preserve"> most </w:t>
      </w:r>
      <w:proofErr w:type="spellStart"/>
      <w:r>
        <w:t>occasions</w:t>
      </w:r>
      <w:proofErr w:type="spellEnd"/>
      <w:r>
        <w:t>).</w:t>
      </w:r>
    </w:p>
    <w:p w14:paraId="582692E3" w14:textId="77777777" w:rsidR="00862843" w:rsidRDefault="00862843" w:rsidP="000A63E5">
      <w:pPr>
        <w:spacing w:after="0" w:line="240" w:lineRule="auto"/>
      </w:pPr>
    </w:p>
    <w:p w14:paraId="3D4DD9B4" w14:textId="731414FE" w:rsidR="000A63E5" w:rsidRDefault="000A63E5" w:rsidP="000A63E5">
      <w:pPr>
        <w:spacing w:after="0" w:line="240" w:lineRule="auto"/>
      </w:pPr>
      <w:r>
        <w:t xml:space="preserve">The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and </w:t>
      </w:r>
      <w:proofErr w:type="gramStart"/>
      <w:r>
        <w:t>non-</w:t>
      </w:r>
      <w:proofErr w:type="spellStart"/>
      <w:r>
        <w:t>formal</w:t>
      </w:r>
      <w:proofErr w:type="spellEnd"/>
      <w:proofErr w:type="gram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logic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in </w:t>
      </w:r>
      <w:proofErr w:type="gramStart"/>
      <w:r>
        <w:t>a</w:t>
      </w:r>
      <w:proofErr w:type="gramEnd"/>
      <w:r>
        <w:t xml:space="preserve"> </w:t>
      </w:r>
      <w:proofErr w:type="spellStart"/>
      <w:r w:rsidR="00862843">
        <w:t>unique</w:t>
      </w:r>
      <w:proofErr w:type="spellEnd"/>
      <w:r w:rsidR="00862843">
        <w:t xml:space="preserve"> </w:t>
      </w:r>
      <w:proofErr w:type="spellStart"/>
      <w:r w:rsidR="00862843">
        <w:t>way</w:t>
      </w:r>
      <w:proofErr w:type="spellEnd"/>
      <w:r w:rsidR="00862843">
        <w:t xml:space="preserve"> </w:t>
      </w:r>
      <w:proofErr w:type="spellStart"/>
      <w:r w:rsidR="00862843">
        <w:t>that</w:t>
      </w:r>
      <w:proofErr w:type="spellEnd"/>
      <w:r w:rsidR="00862843">
        <w:t xml:space="preserve"> </w:t>
      </w:r>
      <w:proofErr w:type="spellStart"/>
      <w:r w:rsidR="00862843">
        <w:t>the</w:t>
      </w:r>
      <w:proofErr w:type="spellEnd"/>
      <w:r w:rsidR="00862843">
        <w:t xml:space="preserve"> </w:t>
      </w:r>
      <w:proofErr w:type="spellStart"/>
      <w:r w:rsidR="00862843">
        <w:t>pragmatist</w:t>
      </w:r>
      <w:proofErr w:type="spellEnd"/>
      <w:r w:rsidR="00862843">
        <w:t xml:space="preserve"> </w:t>
      </w:r>
      <w:proofErr w:type="spellStart"/>
      <w:r w:rsidR="00862843">
        <w:t>philosophical</w:t>
      </w:r>
      <w:proofErr w:type="spellEnd"/>
      <w:r w:rsidR="00862843">
        <w:t xml:space="preserve"> </w:t>
      </w:r>
      <w:proofErr w:type="spellStart"/>
      <w:r w:rsidR="00862843">
        <w:t>attitude</w:t>
      </w:r>
      <w:proofErr w:type="spellEnd"/>
      <w:r w:rsidR="00862843">
        <w:t xml:space="preserve"> </w:t>
      </w:r>
      <w:proofErr w:type="spellStart"/>
      <w:r w:rsidR="00862843">
        <w:t>offers</w:t>
      </w:r>
      <w:proofErr w:type="spellEnd"/>
      <w:r w:rsidR="00862843">
        <w:t>.</w:t>
      </w:r>
    </w:p>
    <w:p w14:paraId="128F7730" w14:textId="77777777" w:rsidR="00862843" w:rsidRDefault="00862843" w:rsidP="000A63E5">
      <w:pPr>
        <w:spacing w:after="0" w:line="240" w:lineRule="auto"/>
      </w:pPr>
    </w:p>
    <w:p w14:paraId="0EC08D3E" w14:textId="28EA3340" w:rsidR="00862843" w:rsidRDefault="00862843" w:rsidP="000A63E5">
      <w:pPr>
        <w:spacing w:after="0" w:line="240" w:lineRule="auto"/>
      </w:pPr>
      <w:proofErr w:type="spellStart"/>
      <w:r>
        <w:t>Course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taking</w:t>
      </w:r>
      <w:proofErr w:type="spellEnd"/>
      <w:r>
        <w:t xml:space="preserve"> </w:t>
      </w:r>
      <w:proofErr w:type="gramStart"/>
      <w:r>
        <w:t>part in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(40%) and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 5-page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(60%).</w:t>
      </w:r>
    </w:p>
    <w:p w14:paraId="2A70D4D0" w14:textId="77777777" w:rsidR="00862843" w:rsidRDefault="00862843" w:rsidP="000A63E5">
      <w:pPr>
        <w:spacing w:after="0" w:line="240" w:lineRule="auto"/>
      </w:pPr>
    </w:p>
    <w:p w14:paraId="00755551" w14:textId="65A94641" w:rsidR="000A63E5" w:rsidRDefault="00862843" w:rsidP="000A63E5">
      <w:pPr>
        <w:spacing w:after="0" w:line="240" w:lineRule="auto"/>
      </w:pPr>
      <w:r>
        <w:t>Schedule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25"/>
        <w:gridCol w:w="549"/>
        <w:gridCol w:w="7330"/>
      </w:tblGrid>
      <w:tr w:rsidR="000A63E5" w:rsidRPr="000A63E5" w14:paraId="1AD49F6B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E477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9AF9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Feb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121C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72D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Introduction</w:t>
            </w:r>
            <w:proofErr w:type="spellEnd"/>
          </w:p>
        </w:tc>
      </w:tr>
      <w:tr w:rsidR="000A63E5" w:rsidRPr="000A63E5" w14:paraId="5B2CED77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8D95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726E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D5FB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C6D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An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introductory</w:t>
            </w:r>
            <w:proofErr w:type="spellEnd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lecture</w:t>
            </w:r>
            <w:proofErr w:type="spellEnd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to</w:t>
            </w:r>
            <w:proofErr w:type="spellEnd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pragmatism</w:t>
            </w:r>
            <w:proofErr w:type="spellEnd"/>
          </w:p>
        </w:tc>
      </w:tr>
      <w:tr w:rsidR="000A63E5" w:rsidRPr="000A63E5" w14:paraId="786E0C7B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DE9F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70C0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3A50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CA41" w14:textId="29F91BDC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The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pragmat</w:t>
            </w:r>
            <w:r w:rsidR="008628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</w:t>
            </w: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maxim of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meaning</w:t>
            </w:r>
            <w:proofErr w:type="spellEnd"/>
          </w:p>
        </w:tc>
      </w:tr>
      <w:tr w:rsidR="000A63E5" w:rsidRPr="000A63E5" w14:paraId="74AB77B4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C7F7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1D2E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4E5E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5221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4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C. S.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Peirce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How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Make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Our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Ideas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Clear</w:t>
              </w:r>
              <w:proofErr w:type="spellEnd"/>
            </w:hyperlink>
          </w:p>
        </w:tc>
      </w:tr>
      <w:tr w:rsidR="000A63E5" w:rsidRPr="000A63E5" w14:paraId="4A06B3C5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2BAC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6C47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D74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9A50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The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logic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inquiry</w:t>
            </w:r>
            <w:proofErr w:type="spellEnd"/>
          </w:p>
        </w:tc>
      </w:tr>
      <w:tr w:rsidR="000A63E5" w:rsidRPr="000A63E5" w14:paraId="42D04D22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7C0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3013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4701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E61A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5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C. S.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Peirce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The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Fixation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Belief</w:t>
              </w:r>
              <w:proofErr w:type="spellEnd"/>
            </w:hyperlink>
          </w:p>
        </w:tc>
      </w:tr>
      <w:tr w:rsidR="000A63E5" w:rsidRPr="000A63E5" w14:paraId="30C697DA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FB73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4C69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59E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178F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6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C. S.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Peirce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A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Neglected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Argument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for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the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Reality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God</w:t>
              </w:r>
            </w:hyperlink>
          </w:p>
        </w:tc>
      </w:tr>
      <w:tr w:rsidR="000A63E5" w:rsidRPr="000A63E5" w14:paraId="09C6D9AD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43F0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1B70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7BF1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A7B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Truth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convergence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pluralism</w:t>
            </w:r>
            <w:proofErr w:type="spellEnd"/>
          </w:p>
        </w:tc>
      </w:tr>
      <w:tr w:rsidR="000A63E5" w:rsidRPr="000A63E5" w14:paraId="1D490ACB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776C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3F35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86FB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23E7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7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W. James: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Pragmatism’s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Conception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Truth</w:t>
              </w:r>
              <w:proofErr w:type="spellEnd"/>
            </w:hyperlink>
          </w:p>
        </w:tc>
      </w:tr>
      <w:tr w:rsidR="000A63E5" w:rsidRPr="000A63E5" w14:paraId="02914385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D83A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F1AD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5411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B7F6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R.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Rorty</w:t>
            </w:r>
            <w:proofErr w:type="spellEnd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: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Pragmatism</w:t>
            </w:r>
            <w:proofErr w:type="spellEnd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Davidson and </w:t>
            </w:r>
            <w:proofErr w:type="spellStart"/>
            <w:r w:rsidRPr="000A63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Truth</w:t>
            </w:r>
            <w:proofErr w:type="spellEnd"/>
          </w:p>
        </w:tc>
      </w:tr>
      <w:tr w:rsidR="000A63E5" w:rsidRPr="000A63E5" w14:paraId="13A566A2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EF34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65FA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E843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0DE9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Consciousness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semiotics</w:t>
            </w:r>
            <w:proofErr w:type="spellEnd"/>
          </w:p>
        </w:tc>
      </w:tr>
      <w:tr w:rsidR="000A63E5" w:rsidRPr="000A63E5" w14:paraId="0EAEA897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172A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8D96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7979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09D3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8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C. S.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Peirce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Questions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Concerning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Certain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Faculties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Claimed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for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Man</w:t>
              </w:r>
            </w:hyperlink>
          </w:p>
        </w:tc>
      </w:tr>
      <w:tr w:rsidR="000A63E5" w:rsidRPr="000A63E5" w14:paraId="2A7AFFC2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6087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F350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F67E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FC9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9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G. H.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Mead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The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Nature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Scientific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Knowledge</w:t>
              </w:r>
              <w:proofErr w:type="spellEnd"/>
            </w:hyperlink>
          </w:p>
        </w:tc>
      </w:tr>
      <w:tr w:rsidR="000A63E5" w:rsidRPr="000A63E5" w14:paraId="22A8742C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7E88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0512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38F7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22C3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Epistemic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responsibility</w:t>
            </w:r>
            <w:proofErr w:type="spellEnd"/>
          </w:p>
        </w:tc>
      </w:tr>
      <w:tr w:rsidR="000A63E5" w:rsidRPr="000A63E5" w14:paraId="774E7CBB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93F4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B48E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9F47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2BA8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0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W. K.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Clifford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The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Ethics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Belief</w:t>
              </w:r>
              <w:proofErr w:type="spellEnd"/>
            </w:hyperlink>
          </w:p>
        </w:tc>
      </w:tr>
      <w:tr w:rsidR="000A63E5" w:rsidRPr="000A63E5" w14:paraId="20C3FB12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14B0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6CFE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29EF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919C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1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W. James: The Will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Believe</w:t>
              </w:r>
              <w:proofErr w:type="spellEnd"/>
            </w:hyperlink>
          </w:p>
        </w:tc>
      </w:tr>
      <w:tr w:rsidR="000A63E5" w:rsidRPr="000A63E5" w14:paraId="7F09B3DC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9C83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FF31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DE14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98F4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Pragmatising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the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 priori</w:t>
            </w:r>
          </w:p>
        </w:tc>
      </w:tr>
      <w:tr w:rsidR="000A63E5" w:rsidRPr="000A63E5" w14:paraId="5DCD7ED1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C6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C507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78CE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59D1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2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C. I. Lewis: A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Pragmatic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Conception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the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A Priori</w:t>
              </w:r>
            </w:hyperlink>
          </w:p>
        </w:tc>
      </w:tr>
      <w:tr w:rsidR="000A63E5" w:rsidRPr="000A63E5" w14:paraId="0E014EE5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F43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999B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BA28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6B1F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3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D. Davidson: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On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the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Very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Idea of a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Conceptual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Scheme</w:t>
              </w:r>
              <w:proofErr w:type="spellEnd"/>
            </w:hyperlink>
          </w:p>
        </w:tc>
      </w:tr>
      <w:tr w:rsidR="000A63E5" w:rsidRPr="000A63E5" w14:paraId="7C501D10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575E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A97C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Apr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C8F2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D005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The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analytic-synthetic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distinction</w:t>
            </w:r>
            <w:proofErr w:type="spellEnd"/>
          </w:p>
        </w:tc>
      </w:tr>
      <w:tr w:rsidR="000A63E5" w:rsidRPr="000A63E5" w14:paraId="4DD69DBC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F96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CC4D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698E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66A5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4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W. V. O.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Quine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Two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Dogmas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Empiricism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</w:hyperlink>
          </w:p>
        </w:tc>
      </w:tr>
      <w:tr w:rsidR="000A63E5" w:rsidRPr="000A63E5" w14:paraId="043C7E38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0E50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E4CF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B98F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6D0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5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W. V. O.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Quine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Ontological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Relativity</w:t>
              </w:r>
              <w:proofErr w:type="spellEnd"/>
            </w:hyperlink>
          </w:p>
        </w:tc>
      </w:tr>
      <w:tr w:rsidR="000A63E5" w:rsidRPr="000A63E5" w14:paraId="4727B789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CC70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B0F8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CA1F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F1A8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The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myth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the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given</w:t>
            </w:r>
            <w:proofErr w:type="spellEnd"/>
          </w:p>
        </w:tc>
      </w:tr>
      <w:tr w:rsidR="000A63E5" w:rsidRPr="000A63E5" w14:paraId="0C4E05EC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E620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2DEC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777A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3466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6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W.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Sellars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Empiricism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and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the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Philosophy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Mind </w:t>
              </w:r>
            </w:hyperlink>
          </w:p>
        </w:tc>
      </w:tr>
      <w:tr w:rsidR="000A63E5" w:rsidRPr="000A63E5" w14:paraId="361D1D3A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28C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A719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3370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22D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gram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Anti-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representationalism</w:t>
            </w:r>
            <w:proofErr w:type="spellEnd"/>
            <w:proofErr w:type="gramEnd"/>
          </w:p>
        </w:tc>
      </w:tr>
      <w:tr w:rsidR="000A63E5" w:rsidRPr="000A63E5" w14:paraId="3B1026EF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029B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B832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1F5E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44B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R.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Rorty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: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Antirepresentationalism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Ethnocentrism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and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Liberalism</w:t>
            </w:r>
            <w:proofErr w:type="spellEnd"/>
          </w:p>
        </w:tc>
      </w:tr>
      <w:tr w:rsidR="000A63E5" w:rsidRPr="000A63E5" w14:paraId="10B0E174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669A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2299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1CC7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22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C5EC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Semantic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externalism</w:t>
            </w:r>
            <w:proofErr w:type="spellEnd"/>
          </w:p>
        </w:tc>
      </w:tr>
      <w:tr w:rsidR="000A63E5" w:rsidRPr="000A63E5" w14:paraId="1E23A7CC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D623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E2FD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01DD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622A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7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H.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Putnam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The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Meaning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of '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Meaning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'</w:t>
              </w:r>
            </w:hyperlink>
          </w:p>
        </w:tc>
      </w:tr>
      <w:tr w:rsidR="000A63E5" w:rsidRPr="000A63E5" w14:paraId="4C8FD31E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FBF9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6881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1008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29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BD6D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Inferentialism</w:t>
            </w:r>
            <w:proofErr w:type="spellEnd"/>
          </w:p>
        </w:tc>
      </w:tr>
      <w:tr w:rsidR="000A63E5" w:rsidRPr="000A63E5" w14:paraId="593D0655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FB8B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CE93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B763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56EF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8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R. B.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Brandom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Between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Saying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and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Doing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.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Ch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. 2 &amp; 5</w:t>
              </w:r>
            </w:hyperlink>
          </w:p>
        </w:tc>
      </w:tr>
      <w:tr w:rsidR="000A63E5" w:rsidRPr="000A63E5" w14:paraId="07F888B6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E04B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68EC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May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111B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1DD1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Expressivism</w:t>
            </w:r>
            <w:proofErr w:type="spellEnd"/>
          </w:p>
        </w:tc>
      </w:tr>
      <w:tr w:rsidR="000A63E5" w:rsidRPr="000A63E5" w14:paraId="39B19179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60EB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F70F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AC33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11BE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19" w:history="1"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H. Price: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Two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Expressivist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Programmes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,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Two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Bifurcations</w:t>
              </w:r>
              <w:proofErr w:type="spellEnd"/>
            </w:hyperlink>
          </w:p>
        </w:tc>
      </w:tr>
      <w:tr w:rsidR="000A63E5" w:rsidRPr="000A63E5" w14:paraId="1BAB0B9E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9490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4EB4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0291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50D6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Language</w:t>
            </w:r>
            <w:proofErr w:type="spellEnd"/>
            <w:r w:rsidRPr="000A6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gender</w:t>
            </w:r>
          </w:p>
        </w:tc>
      </w:tr>
      <w:tr w:rsidR="000A63E5" w:rsidRPr="000A63E5" w14:paraId="652A37EC" w14:textId="77777777" w:rsidTr="000A63E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7921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9A78" w14:textId="77777777" w:rsidR="000A63E5" w:rsidRPr="000A63E5" w:rsidRDefault="000A63E5" w:rsidP="000A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98E8" w14:textId="77777777" w:rsidR="000A63E5" w:rsidRPr="000A63E5" w:rsidRDefault="000A63E5" w:rsidP="000A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AF4F" w14:textId="77777777" w:rsidR="000A63E5" w:rsidRPr="000A63E5" w:rsidRDefault="000A63E5" w:rsidP="000A63E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563C1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hyperlink r:id="rId20" w:history="1"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Sally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Haslanger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: Gender and Race: (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What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)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Are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They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? (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What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)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Do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We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Want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Them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</w:t>
              </w:r>
              <w:proofErr w:type="spellStart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>To</w:t>
              </w:r>
              <w:proofErr w:type="spellEnd"/>
              <w:r w:rsidRPr="000A63E5">
                <w:rPr>
                  <w:rFonts w:ascii="Calibri" w:eastAsia="Times New Roman" w:hAnsi="Calibri" w:cs="Calibri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hu-HU"/>
                  <w14:ligatures w14:val="none"/>
                </w:rPr>
                <w:t xml:space="preserve"> Be?</w:t>
              </w:r>
            </w:hyperlink>
          </w:p>
        </w:tc>
      </w:tr>
    </w:tbl>
    <w:p w14:paraId="508994B3" w14:textId="77777777" w:rsidR="000A63E5" w:rsidRDefault="000A63E5"/>
    <w:sectPr w:rsidR="000A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5"/>
    <w:rsid w:val="00007394"/>
    <w:rsid w:val="000A63E5"/>
    <w:rsid w:val="001318AD"/>
    <w:rsid w:val="00862843"/>
    <w:rsid w:val="00E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6FA5"/>
  <w15:chartTrackingRefBased/>
  <w15:docId w15:val="{3D0CE6DC-2AF1-4882-93CC-1BC640D0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63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63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63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63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63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63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63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63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63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63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63E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0A63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irce.org/writings/p26.html" TargetMode="External"/><Relationship Id="rId13" Type="http://schemas.openxmlformats.org/officeDocument/2006/relationships/hyperlink" Target="https://eltalondeaquiles.pucp.edu.pe/wp-content/uploads/2015/11/On-the-Very-Idea-of-a-Conceptual-Scheme.pdf" TargetMode="External"/><Relationship Id="rId18" Type="http://schemas.openxmlformats.org/officeDocument/2006/relationships/hyperlink" Target="https://sites.pitt.edu/~rbrandom/Courses/2024%20Philosophy%20of%20Language/Texts/Between%20Saying%20and%20Doing%20Towards%20an%20Analytic%20Pragmatism%20by%20Robert%20B.%20Brandom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onadnock.net/james/pragmatism-6.html" TargetMode="External"/><Relationship Id="rId12" Type="http://schemas.openxmlformats.org/officeDocument/2006/relationships/hyperlink" Target="https://www.andrew.cmu.edu/user/kk3n/epistclass/lewis-ayer.pdf" TargetMode="External"/><Relationship Id="rId17" Type="http://schemas.openxmlformats.org/officeDocument/2006/relationships/hyperlink" Target="http://www.ifac.univ-nantes.fr/IMG/pdf/Putnam_-_The_Meaning_of_Meaning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uamproxime.com/class/percep/SellarsEmpPhilMind.pdf" TargetMode="External"/><Relationship Id="rId20" Type="http://schemas.openxmlformats.org/officeDocument/2006/relationships/hyperlink" Target="https://www.mit.edu/~shaslang/papers/WIGRnou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cademia.edu/8125428/A_Neglected_Argument_for_the_Reality_of_God" TargetMode="External"/><Relationship Id="rId11" Type="http://schemas.openxmlformats.org/officeDocument/2006/relationships/hyperlink" Target="https://krypton.mnsu.edu/~jp6372me/THE%20WILL%20TO%20BELIEVE%20.pdf" TargetMode="External"/><Relationship Id="rId5" Type="http://schemas.openxmlformats.org/officeDocument/2006/relationships/hyperlink" Target="https://www.peirce.org/writings/p107.html" TargetMode="External"/><Relationship Id="rId15" Type="http://schemas.openxmlformats.org/officeDocument/2006/relationships/hyperlink" Target="http://www.thatmarcusfamily.org/philosophy/Course_Websites/Readings/Quine%20-%20Ontological%20Relativity.pdf" TargetMode="External"/><Relationship Id="rId10" Type="http://schemas.openxmlformats.org/officeDocument/2006/relationships/hyperlink" Target="https://users.drew.edu/jlenz/clifford-ethics-of-belief.pdf" TargetMode="External"/><Relationship Id="rId19" Type="http://schemas.openxmlformats.org/officeDocument/2006/relationships/hyperlink" Target="https://sites.pitt.edu/~rbrandom/Courses/Antirepresentationalism%20(2020)/Texts/Price%20Two%20Expressivist%20Programmes%20Two%20Bifurcations.pdf" TargetMode="External"/><Relationship Id="rId4" Type="http://schemas.openxmlformats.org/officeDocument/2006/relationships/hyperlink" Target="https://courses.media.mit.edu/2004spring/mas966/Peirce%201878%20Make%20Ideas%20Clear.pdf" TargetMode="External"/><Relationship Id="rId9" Type="http://schemas.openxmlformats.org/officeDocument/2006/relationships/hyperlink" Target="https://brocku.ca/MeadProject/Mead/pubs2/philact/Mead_1938_03.html" TargetMode="External"/><Relationship Id="rId14" Type="http://schemas.openxmlformats.org/officeDocument/2006/relationships/hyperlink" Target="https://www.theologie.uzh.ch/dam/jcr:ffffffff-fbd6-1538-0000-000070cf64bc/Quine5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504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Danka</dc:creator>
  <cp:keywords/>
  <dc:description/>
  <cp:lastModifiedBy>Istvan Danka</cp:lastModifiedBy>
  <cp:revision>1</cp:revision>
  <dcterms:created xsi:type="dcterms:W3CDTF">2026-02-05T07:11:00Z</dcterms:created>
  <dcterms:modified xsi:type="dcterms:W3CDTF">2026-02-05T07:25:00Z</dcterms:modified>
</cp:coreProperties>
</file>