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5"/>
        <w:gridCol w:w="6479"/>
      </w:tblGrid>
      <w:tr w:rsidR="00C46531" w14:paraId="603767B6" w14:textId="77777777" w:rsidTr="001D787E">
        <w:tblPrEx>
          <w:tblCellMar>
            <w:top w:w="0" w:type="dxa"/>
            <w:bottom w:w="0" w:type="dxa"/>
          </w:tblCellMar>
        </w:tblPrEx>
        <w:tc>
          <w:tcPr>
            <w:tcW w:w="3375" w:type="dxa"/>
            <w:tcBorders>
              <w:top w:val="nil"/>
              <w:left w:val="nil"/>
            </w:tcBorders>
          </w:tcPr>
          <w:p w14:paraId="47292775" w14:textId="77777777" w:rsidR="00C46531" w:rsidRDefault="00C46531" w:rsidP="001D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Tárgy neve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6479" w:type="dxa"/>
            <w:tcBorders>
              <w:top w:val="nil"/>
              <w:right w:val="nil"/>
            </w:tcBorders>
          </w:tcPr>
          <w:p w14:paraId="10DB875A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Középkori filozófia / Középkori filozófia és teológia (előadás) </w:t>
            </w:r>
          </w:p>
          <w:p w14:paraId="50E444FC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Medieval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Philosophy</w:t>
            </w:r>
            <w:proofErr w:type="spellEnd"/>
            <w:r>
              <w:rPr>
                <w:sz w:val="22"/>
                <w:szCs w:val="22"/>
              </w:rPr>
              <w:t xml:space="preserve"> / </w:t>
            </w:r>
            <w:proofErr w:type="spellStart"/>
            <w:r>
              <w:rPr>
                <w:sz w:val="22"/>
                <w:szCs w:val="22"/>
              </w:rPr>
              <w:t>Medieval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Philosophy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Theology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lecture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C46531" w14:paraId="7E4586F4" w14:textId="77777777" w:rsidTr="001D787E">
        <w:tblPrEx>
          <w:tblCellMar>
            <w:top w:w="0" w:type="dxa"/>
            <w:bottom w:w="0" w:type="dxa"/>
          </w:tblCellMar>
        </w:tblPrEx>
        <w:tc>
          <w:tcPr>
            <w:tcW w:w="3375" w:type="dxa"/>
            <w:tcBorders>
              <w:left w:val="nil"/>
            </w:tcBorders>
          </w:tcPr>
          <w:p w14:paraId="4892AE19" w14:textId="77777777" w:rsidR="00C46531" w:rsidRDefault="00C46531" w:rsidP="001D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Tárgy kódja: </w:t>
            </w:r>
          </w:p>
        </w:tc>
        <w:tc>
          <w:tcPr>
            <w:tcW w:w="6479" w:type="dxa"/>
            <w:tcBorders>
              <w:right w:val="nil"/>
            </w:tcBorders>
          </w:tcPr>
          <w:p w14:paraId="3E2DCE06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[]</w:t>
            </w:r>
          </w:p>
        </w:tc>
      </w:tr>
      <w:tr w:rsidR="00C46531" w14:paraId="75F3F8CF" w14:textId="77777777" w:rsidTr="001D787E">
        <w:tblPrEx>
          <w:tblCellMar>
            <w:top w:w="0" w:type="dxa"/>
            <w:bottom w:w="0" w:type="dxa"/>
          </w:tblCellMar>
        </w:tblPrEx>
        <w:tc>
          <w:tcPr>
            <w:tcW w:w="3375" w:type="dxa"/>
            <w:tcBorders>
              <w:left w:val="nil"/>
            </w:tcBorders>
          </w:tcPr>
          <w:p w14:paraId="4C57497B" w14:textId="77777777" w:rsidR="00C46531" w:rsidRDefault="00C46531" w:rsidP="001D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Tárgyfelelős neve: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479" w:type="dxa"/>
            <w:tcBorders>
              <w:right w:val="nil"/>
            </w:tcBorders>
          </w:tcPr>
          <w:p w14:paraId="4BAAE3DA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[] </w:t>
            </w:r>
          </w:p>
        </w:tc>
      </w:tr>
      <w:tr w:rsidR="00C46531" w14:paraId="5A7496ED" w14:textId="77777777" w:rsidTr="001D787E">
        <w:tblPrEx>
          <w:tblCellMar>
            <w:top w:w="0" w:type="dxa"/>
            <w:bottom w:w="0" w:type="dxa"/>
          </w:tblCellMar>
        </w:tblPrEx>
        <w:tc>
          <w:tcPr>
            <w:tcW w:w="3375" w:type="dxa"/>
            <w:tcBorders>
              <w:left w:val="nil"/>
            </w:tcBorders>
          </w:tcPr>
          <w:p w14:paraId="2B9D1C81" w14:textId="77777777" w:rsidR="00C46531" w:rsidRDefault="00C46531" w:rsidP="001D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Tárgyfelelős tudományos fokozata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6479" w:type="dxa"/>
            <w:tcBorders>
              <w:right w:val="nil"/>
            </w:tcBorders>
          </w:tcPr>
          <w:p w14:paraId="455B4BB7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[]</w:t>
            </w:r>
          </w:p>
        </w:tc>
      </w:tr>
      <w:tr w:rsidR="00C46531" w14:paraId="643F85DA" w14:textId="77777777" w:rsidTr="001D787E">
        <w:tblPrEx>
          <w:tblCellMar>
            <w:top w:w="0" w:type="dxa"/>
            <w:bottom w:w="0" w:type="dxa"/>
          </w:tblCellMar>
        </w:tblPrEx>
        <w:tc>
          <w:tcPr>
            <w:tcW w:w="3375" w:type="dxa"/>
            <w:tcBorders>
              <w:left w:val="nil"/>
            </w:tcBorders>
          </w:tcPr>
          <w:p w14:paraId="45CEEE12" w14:textId="77777777" w:rsidR="00C46531" w:rsidRDefault="00C46531" w:rsidP="001D78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Oktató: </w:t>
            </w:r>
          </w:p>
        </w:tc>
        <w:tc>
          <w:tcPr>
            <w:tcW w:w="6479" w:type="dxa"/>
            <w:tcBorders>
              <w:right w:val="nil"/>
            </w:tcBorders>
          </w:tcPr>
          <w:p w14:paraId="2E8FF890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Németh Csaba</w:t>
            </w:r>
          </w:p>
        </w:tc>
      </w:tr>
      <w:tr w:rsidR="00C46531" w14:paraId="452D11A0" w14:textId="77777777" w:rsidTr="001D787E">
        <w:tblPrEx>
          <w:tblCellMar>
            <w:top w:w="0" w:type="dxa"/>
            <w:bottom w:w="0" w:type="dxa"/>
          </w:tblCellMar>
        </w:tblPrEx>
        <w:tc>
          <w:tcPr>
            <w:tcW w:w="3375" w:type="dxa"/>
            <w:tcBorders>
              <w:left w:val="nil"/>
            </w:tcBorders>
          </w:tcPr>
          <w:p w14:paraId="73FED85B" w14:textId="77777777" w:rsidR="00C46531" w:rsidRDefault="00C46531" w:rsidP="001D78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Az oktatás célja: </w:t>
            </w:r>
          </w:p>
        </w:tc>
        <w:tc>
          <w:tcPr>
            <w:tcW w:w="6479" w:type="dxa"/>
            <w:tcBorders>
              <w:right w:val="nil"/>
            </w:tcBorders>
          </w:tcPr>
          <w:p w14:paraId="12BF04EF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kurzus célja bevezetést adni a 13-14. századi nyugati filozófiai gondolkodáshoz. </w:t>
            </w:r>
          </w:p>
        </w:tc>
      </w:tr>
      <w:tr w:rsidR="00C46531" w14:paraId="704321B6" w14:textId="77777777" w:rsidTr="001D787E">
        <w:tblPrEx>
          <w:tblCellMar>
            <w:top w:w="0" w:type="dxa"/>
            <w:bottom w:w="0" w:type="dxa"/>
          </w:tblCellMar>
        </w:tblPrEx>
        <w:tc>
          <w:tcPr>
            <w:tcW w:w="3375" w:type="dxa"/>
            <w:tcBorders>
              <w:left w:val="nil"/>
            </w:tcBorders>
          </w:tcPr>
          <w:p w14:paraId="6D0A07EE" w14:textId="77777777" w:rsidR="00C46531" w:rsidRDefault="00C46531" w:rsidP="001D78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Az oktatás tartalma: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479" w:type="dxa"/>
            <w:tcBorders>
              <w:right w:val="nil"/>
            </w:tcBorders>
          </w:tcPr>
          <w:p w14:paraId="34DF2960" w14:textId="77777777" w:rsidR="00C46531" w:rsidRDefault="00C46531" w:rsidP="001D787E">
            <w:pPr>
              <w:spacing w:after="0"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félév során Aquinói Tamás írásainak segítségével (fókuszban a De </w:t>
            </w:r>
            <w:proofErr w:type="spellStart"/>
            <w:r>
              <w:rPr>
                <w:sz w:val="22"/>
                <w:szCs w:val="22"/>
              </w:rPr>
              <w:t>ente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essentia</w:t>
            </w:r>
            <w:proofErr w:type="spellEnd"/>
            <w:r>
              <w:rPr>
                <w:sz w:val="22"/>
                <w:szCs w:val="22"/>
              </w:rPr>
              <w:t xml:space="preserve"> és a Summa </w:t>
            </w:r>
            <w:proofErr w:type="spellStart"/>
            <w:r>
              <w:rPr>
                <w:sz w:val="22"/>
                <w:szCs w:val="22"/>
              </w:rPr>
              <w:t>contra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gentiles</w:t>
            </w:r>
            <w:proofErr w:type="spellEnd"/>
            <w:r>
              <w:rPr>
                <w:sz w:val="22"/>
                <w:szCs w:val="22"/>
              </w:rPr>
              <w:t xml:space="preserve">) vizsgálunk jellemzően 13-14. században problémássá váló filozófiai kérdéseket és válaszokat, mint például a létezők fajtái, létezés és lényeg kapcsolata, az </w:t>
            </w:r>
            <w:proofErr w:type="spellStart"/>
            <w:r>
              <w:rPr>
                <w:sz w:val="22"/>
                <w:szCs w:val="22"/>
              </w:rPr>
              <w:t>individuáció</w:t>
            </w:r>
            <w:proofErr w:type="spellEnd"/>
            <w:r>
              <w:rPr>
                <w:sz w:val="22"/>
                <w:szCs w:val="22"/>
              </w:rPr>
              <w:t>, az istenérvek, az arisztotelészi hagyomány, az arab neoplatonizmus modelljei, a világ örökkévalósága, az értelem fajtái.</w:t>
            </w:r>
          </w:p>
        </w:tc>
      </w:tr>
      <w:tr w:rsidR="00C46531" w14:paraId="57AE9BEA" w14:textId="77777777" w:rsidTr="001D787E">
        <w:tblPrEx>
          <w:tblCellMar>
            <w:top w:w="0" w:type="dxa"/>
            <w:bottom w:w="0" w:type="dxa"/>
          </w:tblCellMar>
        </w:tblPrEx>
        <w:tc>
          <w:tcPr>
            <w:tcW w:w="3375" w:type="dxa"/>
            <w:tcBorders>
              <w:left w:val="nil"/>
            </w:tcBorders>
          </w:tcPr>
          <w:p w14:paraId="5A713B27" w14:textId="77777777" w:rsidR="00C46531" w:rsidRDefault="00C46531" w:rsidP="001D78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 számonkérés és értékelés rendszere:</w:t>
            </w:r>
          </w:p>
        </w:tc>
        <w:tc>
          <w:tcPr>
            <w:tcW w:w="6479" w:type="dxa"/>
            <w:tcBorders>
              <w:right w:val="nil"/>
            </w:tcBorders>
          </w:tcPr>
          <w:p w14:paraId="44F720B5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írásbeli vizsga, a kurzus felületén megadott szövegekből.</w:t>
            </w:r>
          </w:p>
        </w:tc>
      </w:tr>
      <w:tr w:rsidR="00C46531" w14:paraId="0164A004" w14:textId="77777777" w:rsidTr="001D787E">
        <w:tblPrEx>
          <w:tblCellMar>
            <w:top w:w="0" w:type="dxa"/>
            <w:bottom w:w="0" w:type="dxa"/>
          </w:tblCellMar>
        </w:tblPrEx>
        <w:tc>
          <w:tcPr>
            <w:tcW w:w="3375" w:type="dxa"/>
            <w:tcBorders>
              <w:left w:val="nil"/>
            </w:tcBorders>
          </w:tcPr>
          <w:p w14:paraId="60A049E1" w14:textId="77777777" w:rsidR="00C46531" w:rsidRDefault="00C46531" w:rsidP="001D78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Irodalom:</w:t>
            </w:r>
          </w:p>
        </w:tc>
        <w:tc>
          <w:tcPr>
            <w:tcW w:w="6479" w:type="dxa"/>
            <w:tcBorders>
              <w:right w:val="nil"/>
            </w:tcBorders>
          </w:tcPr>
          <w:p w14:paraId="003F2FD5" w14:textId="77777777" w:rsidR="00C46531" w:rsidRDefault="00C46531" w:rsidP="001D787E">
            <w:pPr>
              <w:spacing w:after="0" w:line="240" w:lineRule="auto"/>
              <w:ind w:left="720" w:hanging="720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Skolasztikus filozófiai szöveggyűjtemény,</w:t>
            </w:r>
            <w:r>
              <w:rPr>
                <w:sz w:val="22"/>
                <w:szCs w:val="22"/>
              </w:rPr>
              <w:t xml:space="preserve"> szerk. Borbély Gábor és </w:t>
            </w:r>
            <w:proofErr w:type="spellStart"/>
            <w:r>
              <w:rPr>
                <w:sz w:val="22"/>
                <w:szCs w:val="22"/>
              </w:rPr>
              <w:t>Schmal</w:t>
            </w:r>
            <w:proofErr w:type="spellEnd"/>
            <w:r>
              <w:rPr>
                <w:sz w:val="22"/>
                <w:szCs w:val="22"/>
              </w:rPr>
              <w:t xml:space="preserve"> Dániel. Budapest: </w:t>
            </w:r>
            <w:proofErr w:type="spellStart"/>
            <w:r>
              <w:rPr>
                <w:sz w:val="22"/>
                <w:szCs w:val="22"/>
              </w:rPr>
              <w:t>L’Harmattan</w:t>
            </w:r>
            <w:proofErr w:type="spellEnd"/>
            <w:r>
              <w:rPr>
                <w:sz w:val="22"/>
                <w:szCs w:val="22"/>
              </w:rPr>
              <w:t>, 2019.</w:t>
            </w:r>
          </w:p>
          <w:p w14:paraId="131AB1DC" w14:textId="77777777" w:rsidR="00C46531" w:rsidRDefault="00C46531" w:rsidP="001D787E">
            <w:pPr>
              <w:spacing w:after="0" w:line="240" w:lineRule="auto"/>
              <w:ind w:left="720" w:hanging="720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Az égi és a földi szépről</w:t>
            </w:r>
            <w:r>
              <w:rPr>
                <w:sz w:val="22"/>
                <w:szCs w:val="22"/>
              </w:rPr>
              <w:t xml:space="preserve">, szerk. </w:t>
            </w:r>
            <w:proofErr w:type="spellStart"/>
            <w:r>
              <w:rPr>
                <w:sz w:val="22"/>
                <w:szCs w:val="22"/>
              </w:rPr>
              <w:t>Redl</w:t>
            </w:r>
            <w:proofErr w:type="spellEnd"/>
            <w:r>
              <w:rPr>
                <w:sz w:val="22"/>
                <w:szCs w:val="22"/>
              </w:rPr>
              <w:t xml:space="preserve"> Károly. Budapest: Gondolat, 1988.</w:t>
            </w:r>
          </w:p>
          <w:p w14:paraId="0225F03C" w14:textId="77777777" w:rsidR="00C46531" w:rsidRDefault="00C46531" w:rsidP="001D787E">
            <w:pPr>
              <w:spacing w:after="0" w:line="240" w:lineRule="auto"/>
              <w:ind w:left="720" w:hanging="72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Aegidius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Romanus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, „A filozófusok tévedései”, ford. </w:t>
            </w:r>
            <w:proofErr w:type="spellStart"/>
            <w:r>
              <w:rPr>
                <w:snapToGrid w:val="0"/>
                <w:sz w:val="22"/>
                <w:szCs w:val="22"/>
              </w:rPr>
              <w:t>Redl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Károly, </w:t>
            </w:r>
            <w:r>
              <w:rPr>
                <w:i/>
                <w:iCs/>
                <w:snapToGrid w:val="0"/>
                <w:sz w:val="22"/>
                <w:szCs w:val="22"/>
              </w:rPr>
              <w:t>Magyar Filozófiai Szemle</w:t>
            </w:r>
            <w:r>
              <w:rPr>
                <w:snapToGrid w:val="0"/>
                <w:sz w:val="22"/>
                <w:szCs w:val="22"/>
              </w:rPr>
              <w:t xml:space="preserve"> 35 (1991/3), 316–347.</w:t>
            </w:r>
          </w:p>
          <w:p w14:paraId="047DEF32" w14:textId="77777777" w:rsidR="00C46531" w:rsidRDefault="00C46531" w:rsidP="001D787E">
            <w:pPr>
              <w:spacing w:after="0" w:line="240" w:lineRule="auto"/>
              <w:ind w:left="720" w:hanging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Borbély Gábor. </w:t>
            </w:r>
            <w:r>
              <w:rPr>
                <w:i/>
                <w:iCs/>
                <w:sz w:val="22"/>
                <w:szCs w:val="22"/>
              </w:rPr>
              <w:t>Civakodó angyalok. Bevezetés a középkori filozófiába</w:t>
            </w:r>
            <w:r>
              <w:rPr>
                <w:sz w:val="22"/>
                <w:szCs w:val="22"/>
              </w:rPr>
              <w:t xml:space="preserve">. Budapest: Akadémiai, 2008. </w:t>
            </w:r>
          </w:p>
          <w:p w14:paraId="6E4DFC14" w14:textId="77777777" w:rsidR="00C46531" w:rsidRDefault="00C46531" w:rsidP="001D787E">
            <w:pPr>
              <w:spacing w:after="0" w:line="240" w:lineRule="auto"/>
              <w:ind w:left="720" w:hanging="720"/>
              <w:jc w:val="both"/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Leinsle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, Ulrich G. </w:t>
            </w:r>
            <w:r>
              <w:rPr>
                <w:i/>
                <w:iCs/>
                <w:snapToGrid w:val="0"/>
                <w:sz w:val="22"/>
                <w:szCs w:val="22"/>
              </w:rPr>
              <w:t>A skolasztikus teológia története</w:t>
            </w:r>
            <w:r>
              <w:rPr>
                <w:snapToGrid w:val="0"/>
                <w:sz w:val="22"/>
                <w:szCs w:val="22"/>
              </w:rPr>
              <w:t xml:space="preserve">, ford. </w:t>
            </w:r>
            <w:proofErr w:type="spellStart"/>
            <w:r>
              <w:rPr>
                <w:snapToGrid w:val="0"/>
                <w:sz w:val="22"/>
                <w:szCs w:val="22"/>
              </w:rPr>
              <w:t>Görföl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Tibor. Budapest: Osiris, 2007. </w:t>
            </w:r>
          </w:p>
          <w:p w14:paraId="40CC8705" w14:textId="77777777" w:rsidR="00C46531" w:rsidRDefault="00C46531" w:rsidP="001D787E">
            <w:pPr>
              <w:spacing w:after="0" w:line="240" w:lineRule="auto"/>
              <w:ind w:left="720" w:hanging="7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Flasch, Kurt. Eckhart mester. A '</w:t>
            </w:r>
            <w:proofErr w:type="spellStart"/>
            <w:r>
              <w:rPr>
                <w:snapToGrid w:val="0"/>
                <w:sz w:val="22"/>
                <w:szCs w:val="22"/>
                <w:lang w:val="en-GB"/>
              </w:rPr>
              <w:t>német</w:t>
            </w:r>
            <w:proofErr w:type="spellEnd"/>
            <w:r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GB"/>
              </w:rPr>
              <w:t>misztika</w:t>
            </w:r>
            <w:proofErr w:type="spellEnd"/>
            <w:r>
              <w:rPr>
                <w:snapToGrid w:val="0"/>
                <w:sz w:val="22"/>
                <w:szCs w:val="22"/>
                <w:lang w:val="en-GB"/>
              </w:rPr>
              <w:t xml:space="preserve">' </w:t>
            </w:r>
            <w:proofErr w:type="spellStart"/>
            <w:r>
              <w:rPr>
                <w:snapToGrid w:val="0"/>
                <w:sz w:val="22"/>
                <w:szCs w:val="22"/>
                <w:lang w:val="en-GB"/>
              </w:rPr>
              <w:t>születése</w:t>
            </w:r>
            <w:proofErr w:type="spellEnd"/>
            <w:r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GB"/>
              </w:rPr>
              <w:t>az</w:t>
            </w:r>
            <w:proofErr w:type="spellEnd"/>
            <w:r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GB"/>
              </w:rPr>
              <w:t>arab</w:t>
            </w:r>
            <w:proofErr w:type="spellEnd"/>
            <w:r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GB"/>
              </w:rPr>
              <w:t>filozófia</w:t>
            </w:r>
            <w:proofErr w:type="spellEnd"/>
            <w:r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GB"/>
              </w:rPr>
              <w:t>szelleméből</w:t>
            </w:r>
            <w:proofErr w:type="spellEnd"/>
            <w:r>
              <w:rPr>
                <w:snapToGrid w:val="0"/>
                <w:sz w:val="22"/>
                <w:szCs w:val="22"/>
                <w:lang w:val="en-GB"/>
              </w:rPr>
              <w:t xml:space="preserve">, ford. Ábrahám Zoltán. Budapest: Európa </w:t>
            </w:r>
            <w:proofErr w:type="spellStart"/>
            <w:r>
              <w:rPr>
                <w:snapToGrid w:val="0"/>
                <w:sz w:val="22"/>
                <w:szCs w:val="22"/>
                <w:lang w:val="en-GB"/>
              </w:rPr>
              <w:t>Könyvkiadó</w:t>
            </w:r>
            <w:proofErr w:type="spellEnd"/>
            <w:r>
              <w:rPr>
                <w:snapToGrid w:val="0"/>
                <w:sz w:val="22"/>
                <w:szCs w:val="22"/>
                <w:lang w:val="en-GB"/>
              </w:rPr>
              <w:t>, 2011.</w:t>
            </w:r>
          </w:p>
        </w:tc>
      </w:tr>
      <w:tr w:rsidR="00C46531" w14:paraId="47C451D0" w14:textId="77777777" w:rsidTr="001D787E">
        <w:tblPrEx>
          <w:tblCellMar>
            <w:top w:w="0" w:type="dxa"/>
            <w:bottom w:w="0" w:type="dxa"/>
          </w:tblCellMar>
        </w:tblPrEx>
        <w:tc>
          <w:tcPr>
            <w:tcW w:w="3375" w:type="dxa"/>
            <w:tcBorders>
              <w:left w:val="nil"/>
            </w:tcBorders>
          </w:tcPr>
          <w:p w14:paraId="0C5B5ABA" w14:textId="77777777" w:rsidR="00C46531" w:rsidRDefault="00C46531" w:rsidP="001D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Az oktatás célja angolul: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479" w:type="dxa"/>
            <w:tcBorders>
              <w:right w:val="nil"/>
            </w:tcBorders>
          </w:tcPr>
          <w:p w14:paraId="27B43790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proofErr w:type="spellStart"/>
            <w:r>
              <w:rPr>
                <w:sz w:val="22"/>
                <w:szCs w:val="22"/>
              </w:rPr>
              <w:t>course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offers</w:t>
            </w:r>
            <w:proofErr w:type="spellEnd"/>
            <w:r>
              <w:rPr>
                <w:sz w:val="22"/>
                <w:szCs w:val="22"/>
              </w:rPr>
              <w:t xml:space="preserve"> an </w:t>
            </w:r>
            <w:proofErr w:type="spellStart"/>
            <w:r>
              <w:rPr>
                <w:sz w:val="22"/>
                <w:szCs w:val="22"/>
              </w:rPr>
              <w:t>introduction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thirteenth</w:t>
            </w:r>
            <w:proofErr w:type="spellEnd"/>
            <w:r>
              <w:rPr>
                <w:sz w:val="22"/>
                <w:szCs w:val="22"/>
              </w:rPr>
              <w:t xml:space="preserve">- and </w:t>
            </w:r>
            <w:proofErr w:type="spellStart"/>
            <w:r>
              <w:rPr>
                <w:sz w:val="22"/>
                <w:szCs w:val="22"/>
              </w:rPr>
              <w:t>fourteenth-century</w:t>
            </w:r>
            <w:proofErr w:type="spellEnd"/>
            <w:r>
              <w:rPr>
                <w:sz w:val="22"/>
                <w:szCs w:val="22"/>
              </w:rPr>
              <w:t xml:space="preserve"> Western </w:t>
            </w:r>
            <w:proofErr w:type="spellStart"/>
            <w:r>
              <w:rPr>
                <w:sz w:val="22"/>
                <w:szCs w:val="22"/>
              </w:rPr>
              <w:t>philosophy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  <w:tr w:rsidR="00C46531" w14:paraId="6AF49A22" w14:textId="77777777" w:rsidTr="001D787E">
        <w:tblPrEx>
          <w:tblCellMar>
            <w:top w:w="0" w:type="dxa"/>
            <w:bottom w:w="0" w:type="dxa"/>
          </w:tblCellMar>
        </w:tblPrEx>
        <w:tc>
          <w:tcPr>
            <w:tcW w:w="3375" w:type="dxa"/>
            <w:tcBorders>
              <w:left w:val="nil"/>
            </w:tcBorders>
          </w:tcPr>
          <w:p w14:paraId="51836720" w14:textId="77777777" w:rsidR="00C46531" w:rsidRDefault="00C46531" w:rsidP="001D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Az oktatás tartalma angolul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479" w:type="dxa"/>
            <w:tcBorders>
              <w:right w:val="nil"/>
            </w:tcBorders>
          </w:tcPr>
          <w:p w14:paraId="39180E97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With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help</w:t>
            </w:r>
            <w:proofErr w:type="spellEnd"/>
            <w:r>
              <w:rPr>
                <w:sz w:val="22"/>
                <w:szCs w:val="22"/>
              </w:rPr>
              <w:t xml:space="preserve"> of </w:t>
            </w:r>
            <w:proofErr w:type="spellStart"/>
            <w:r>
              <w:rPr>
                <w:sz w:val="22"/>
                <w:szCs w:val="22"/>
              </w:rPr>
              <w:t>Aquinas</w:t>
            </w:r>
            <w:proofErr w:type="spellEnd"/>
            <w:r>
              <w:rPr>
                <w:sz w:val="22"/>
                <w:szCs w:val="22"/>
              </w:rPr>
              <w:t xml:space="preserve">’ </w:t>
            </w:r>
            <w:proofErr w:type="spellStart"/>
            <w:r>
              <w:rPr>
                <w:sz w:val="22"/>
                <w:szCs w:val="22"/>
              </w:rPr>
              <w:t>writings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focussing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ente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essentia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Summa </w:t>
            </w:r>
            <w:proofErr w:type="spellStart"/>
            <w:r>
              <w:rPr>
                <w:sz w:val="22"/>
                <w:szCs w:val="22"/>
              </w:rPr>
              <w:t>contra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gentiles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course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will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investigate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philosophical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issues</w:t>
            </w:r>
            <w:proofErr w:type="spellEnd"/>
            <w:r>
              <w:rPr>
                <w:sz w:val="22"/>
                <w:szCs w:val="22"/>
              </w:rPr>
              <w:t xml:space="preserve"> of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thirteenth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fourteenth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centuries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such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relation</w:t>
            </w:r>
            <w:proofErr w:type="spellEnd"/>
            <w:r>
              <w:rPr>
                <w:sz w:val="22"/>
                <w:szCs w:val="22"/>
              </w:rPr>
              <w:t xml:space="preserve"> of </w:t>
            </w:r>
            <w:proofErr w:type="spellStart"/>
            <w:r>
              <w:rPr>
                <w:sz w:val="22"/>
                <w:szCs w:val="22"/>
              </w:rPr>
              <w:t>being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essence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variants</w:t>
            </w:r>
            <w:proofErr w:type="spellEnd"/>
            <w:r>
              <w:rPr>
                <w:sz w:val="22"/>
                <w:szCs w:val="22"/>
              </w:rPr>
              <w:t xml:space="preserve"> of </w:t>
            </w:r>
            <w:proofErr w:type="spellStart"/>
            <w:r>
              <w:rPr>
                <w:sz w:val="22"/>
                <w:szCs w:val="22"/>
              </w:rPr>
              <w:t>hylemorphism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question</w:t>
            </w:r>
            <w:proofErr w:type="spellEnd"/>
            <w:r>
              <w:rPr>
                <w:sz w:val="22"/>
                <w:szCs w:val="22"/>
              </w:rPr>
              <w:t xml:space="preserve"> of </w:t>
            </w:r>
            <w:proofErr w:type="spellStart"/>
            <w:r>
              <w:rPr>
                <w:sz w:val="22"/>
                <w:szCs w:val="22"/>
              </w:rPr>
              <w:t>individuation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arguments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existence</w:t>
            </w:r>
            <w:proofErr w:type="spellEnd"/>
            <w:r>
              <w:rPr>
                <w:sz w:val="22"/>
                <w:szCs w:val="22"/>
              </w:rPr>
              <w:t xml:space="preserve"> of God,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eternity</w:t>
            </w:r>
            <w:proofErr w:type="spellEnd"/>
            <w:r>
              <w:rPr>
                <w:sz w:val="22"/>
                <w:szCs w:val="22"/>
              </w:rPr>
              <w:t xml:space="preserve"> of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world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intellects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Aristotelian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traditions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models</w:t>
            </w:r>
            <w:proofErr w:type="spellEnd"/>
            <w:r>
              <w:rPr>
                <w:sz w:val="22"/>
                <w:szCs w:val="22"/>
              </w:rPr>
              <w:t xml:space="preserve"> of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Arabic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Neoplatonism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  <w:tr w:rsidR="00C46531" w14:paraId="384498A0" w14:textId="77777777" w:rsidTr="001D787E">
        <w:tblPrEx>
          <w:tblCellMar>
            <w:top w:w="0" w:type="dxa"/>
            <w:bottom w:w="0" w:type="dxa"/>
          </w:tblCellMar>
        </w:tblPrEx>
        <w:tc>
          <w:tcPr>
            <w:tcW w:w="3375" w:type="dxa"/>
            <w:tcBorders>
              <w:left w:val="nil"/>
            </w:tcBorders>
          </w:tcPr>
          <w:p w14:paraId="44C9FE0A" w14:textId="77777777" w:rsidR="00C46531" w:rsidRDefault="00C46531" w:rsidP="001D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 számonkérés és értékelés rendszere angolul: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479" w:type="dxa"/>
            <w:tcBorders>
              <w:right w:val="nil"/>
            </w:tcBorders>
          </w:tcPr>
          <w:p w14:paraId="1423B0DC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written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exam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46531" w14:paraId="2FCE3C67" w14:textId="77777777" w:rsidTr="001D787E">
        <w:tblPrEx>
          <w:tblCellMar>
            <w:top w:w="0" w:type="dxa"/>
            <w:bottom w:w="0" w:type="dxa"/>
          </w:tblCellMar>
        </w:tblPrEx>
        <w:tc>
          <w:tcPr>
            <w:tcW w:w="3375" w:type="dxa"/>
            <w:tcBorders>
              <w:left w:val="nil"/>
              <w:bottom w:val="nil"/>
            </w:tcBorders>
          </w:tcPr>
          <w:p w14:paraId="3AA00E83" w14:textId="77777777" w:rsidR="00C46531" w:rsidRDefault="00C46531" w:rsidP="001D78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Idegen nyelven történő indítás esetén az adott idegen nyelvű irodalom: </w:t>
            </w:r>
          </w:p>
        </w:tc>
        <w:tc>
          <w:tcPr>
            <w:tcW w:w="6479" w:type="dxa"/>
            <w:tcBorders>
              <w:bottom w:val="nil"/>
              <w:right w:val="nil"/>
            </w:tcBorders>
          </w:tcPr>
          <w:p w14:paraId="29599002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The Cambridge </w:t>
            </w:r>
            <w:proofErr w:type="spellStart"/>
            <w:r>
              <w:rPr>
                <w:i/>
                <w:iCs/>
                <w:sz w:val="22"/>
                <w:szCs w:val="22"/>
              </w:rPr>
              <w:t>History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of </w:t>
            </w:r>
            <w:proofErr w:type="spellStart"/>
            <w:r>
              <w:rPr>
                <w:i/>
                <w:iCs/>
                <w:sz w:val="22"/>
                <w:szCs w:val="22"/>
              </w:rPr>
              <w:t>Later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Medieval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Philosophy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ed</w:t>
            </w:r>
            <w:proofErr w:type="spellEnd"/>
            <w:r>
              <w:rPr>
                <w:sz w:val="22"/>
                <w:szCs w:val="22"/>
              </w:rPr>
              <w:t xml:space="preserve">. N. </w:t>
            </w:r>
            <w:proofErr w:type="spellStart"/>
            <w:r>
              <w:rPr>
                <w:sz w:val="22"/>
                <w:szCs w:val="22"/>
              </w:rPr>
              <w:t>Kretzmann</w:t>
            </w:r>
            <w:proofErr w:type="spellEnd"/>
            <w:r>
              <w:rPr>
                <w:sz w:val="22"/>
                <w:szCs w:val="22"/>
              </w:rPr>
              <w:t xml:space="preserve">, A. Kenny, J. </w:t>
            </w:r>
            <w:proofErr w:type="spellStart"/>
            <w:r>
              <w:rPr>
                <w:sz w:val="22"/>
                <w:szCs w:val="22"/>
              </w:rPr>
              <w:t>Pinborg</w:t>
            </w:r>
            <w:proofErr w:type="spellEnd"/>
            <w:r>
              <w:rPr>
                <w:sz w:val="22"/>
                <w:szCs w:val="22"/>
              </w:rPr>
              <w:t>. Cambridge: Cambridge UP, 1982.</w:t>
            </w:r>
          </w:p>
          <w:p w14:paraId="6BF65D16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eastAsia="MS Mincho"/>
                <w:sz w:val="22"/>
                <w:szCs w:val="22"/>
              </w:rPr>
              <w:t>Bieniak</w:t>
            </w:r>
            <w:proofErr w:type="spellEnd"/>
            <w:r>
              <w:rPr>
                <w:rFonts w:eastAsia="MS Mincho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MS Mincho"/>
                <w:sz w:val="22"/>
                <w:szCs w:val="22"/>
              </w:rPr>
              <w:t>Magdalena</w:t>
            </w:r>
            <w:proofErr w:type="spellEnd"/>
            <w:r>
              <w:rPr>
                <w:rFonts w:eastAsia="MS Mincho"/>
                <w:sz w:val="22"/>
                <w:szCs w:val="22"/>
              </w:rPr>
              <w:t xml:space="preserve">. </w:t>
            </w:r>
            <w:r>
              <w:rPr>
                <w:rFonts w:eastAsia="MS Mincho"/>
                <w:i/>
                <w:iCs/>
                <w:sz w:val="22"/>
                <w:szCs w:val="22"/>
              </w:rPr>
              <w:t xml:space="preserve">The </w:t>
            </w:r>
            <w:proofErr w:type="spellStart"/>
            <w:r>
              <w:rPr>
                <w:rFonts w:eastAsia="MS Mincho"/>
                <w:i/>
                <w:iCs/>
                <w:sz w:val="22"/>
                <w:szCs w:val="22"/>
              </w:rPr>
              <w:t>Soul</w:t>
            </w:r>
            <w:proofErr w:type="spellEnd"/>
            <w:r>
              <w:rPr>
                <w:rFonts w:eastAsia="MS Mincho"/>
                <w:i/>
                <w:iCs/>
                <w:sz w:val="22"/>
                <w:szCs w:val="22"/>
              </w:rPr>
              <w:t xml:space="preserve">-Body </w:t>
            </w:r>
            <w:proofErr w:type="spellStart"/>
            <w:r>
              <w:rPr>
                <w:rFonts w:eastAsia="MS Mincho"/>
                <w:i/>
                <w:iCs/>
                <w:sz w:val="22"/>
                <w:szCs w:val="22"/>
              </w:rPr>
              <w:t>Problem</w:t>
            </w:r>
            <w:proofErr w:type="spellEnd"/>
            <w:r>
              <w:rPr>
                <w:rFonts w:eastAsia="MS Mincho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MS Mincho"/>
                <w:i/>
                <w:iCs/>
                <w:sz w:val="22"/>
                <w:szCs w:val="22"/>
              </w:rPr>
              <w:t>at</w:t>
            </w:r>
            <w:proofErr w:type="spellEnd"/>
            <w:r>
              <w:rPr>
                <w:rFonts w:eastAsia="MS Mincho"/>
                <w:i/>
                <w:iCs/>
                <w:sz w:val="22"/>
                <w:szCs w:val="22"/>
              </w:rPr>
              <w:t xml:space="preserve"> Paris </w:t>
            </w:r>
            <w:proofErr w:type="spellStart"/>
            <w:r>
              <w:rPr>
                <w:rFonts w:eastAsia="MS Mincho"/>
                <w:i/>
                <w:iCs/>
                <w:sz w:val="22"/>
                <w:szCs w:val="22"/>
              </w:rPr>
              <w:t>ca</w:t>
            </w:r>
            <w:proofErr w:type="spellEnd"/>
            <w:r>
              <w:rPr>
                <w:rFonts w:eastAsia="MS Mincho"/>
                <w:i/>
                <w:iCs/>
                <w:sz w:val="22"/>
                <w:szCs w:val="22"/>
              </w:rPr>
              <w:t xml:space="preserve">. 1200-1250: Hugh of </w:t>
            </w:r>
            <w:proofErr w:type="spellStart"/>
            <w:r>
              <w:rPr>
                <w:rFonts w:eastAsia="MS Mincho"/>
                <w:i/>
                <w:iCs/>
                <w:sz w:val="22"/>
                <w:szCs w:val="22"/>
              </w:rPr>
              <w:t>St</w:t>
            </w:r>
            <w:proofErr w:type="spellEnd"/>
            <w:r>
              <w:rPr>
                <w:rFonts w:eastAsia="MS Mincho"/>
                <w:i/>
                <w:iCs/>
                <w:sz w:val="22"/>
                <w:szCs w:val="22"/>
              </w:rPr>
              <w:t xml:space="preserve">-Cher and </w:t>
            </w:r>
            <w:proofErr w:type="spellStart"/>
            <w:r>
              <w:rPr>
                <w:rFonts w:eastAsia="MS Mincho"/>
                <w:i/>
                <w:iCs/>
                <w:sz w:val="22"/>
                <w:szCs w:val="22"/>
              </w:rPr>
              <w:t>His</w:t>
            </w:r>
            <w:proofErr w:type="spellEnd"/>
            <w:r>
              <w:rPr>
                <w:rFonts w:eastAsia="MS Mincho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MS Mincho"/>
                <w:i/>
                <w:iCs/>
                <w:sz w:val="22"/>
                <w:szCs w:val="22"/>
              </w:rPr>
              <w:t>Contemporaries</w:t>
            </w:r>
            <w:proofErr w:type="spellEnd"/>
            <w:r>
              <w:rPr>
                <w:rFonts w:eastAsia="MS Mincho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MS Mincho"/>
                <w:sz w:val="22"/>
                <w:szCs w:val="22"/>
              </w:rPr>
              <w:t>Leuven</w:t>
            </w:r>
            <w:proofErr w:type="spellEnd"/>
            <w:r>
              <w:rPr>
                <w:rFonts w:eastAsia="MS Mincho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eastAsia="MS Mincho"/>
                <w:sz w:val="22"/>
                <w:szCs w:val="22"/>
              </w:rPr>
              <w:t>Leuven</w:t>
            </w:r>
            <w:proofErr w:type="spellEnd"/>
            <w:r>
              <w:rPr>
                <w:rFonts w:eastAsia="MS Mincho"/>
                <w:sz w:val="22"/>
                <w:szCs w:val="22"/>
              </w:rPr>
              <w:t xml:space="preserve"> UP, 2010.</w:t>
            </w:r>
          </w:p>
          <w:p w14:paraId="655E1651" w14:textId="77777777" w:rsidR="00C46531" w:rsidRDefault="00C46531" w:rsidP="001D787E">
            <w:pPr>
              <w:spacing w:after="0" w:line="240" w:lineRule="auto"/>
              <w:jc w:val="both"/>
              <w:rPr>
                <w:snapToGrid w:val="0"/>
                <w:sz w:val="22"/>
                <w:szCs w:val="22"/>
                <w:lang w:val="en"/>
              </w:rPr>
            </w:pPr>
            <w:r>
              <w:rPr>
                <w:snapToGrid w:val="0"/>
                <w:sz w:val="22"/>
                <w:szCs w:val="22"/>
                <w:lang w:val="en"/>
              </w:rPr>
              <w:t xml:space="preserve">Dales, Richard C. </w:t>
            </w:r>
            <w:r>
              <w:rPr>
                <w:i/>
                <w:iCs/>
                <w:snapToGrid w:val="0"/>
                <w:sz w:val="22"/>
                <w:szCs w:val="22"/>
                <w:lang w:val="en"/>
              </w:rPr>
              <w:t>Medieval Discussions of the Eternity of the World</w:t>
            </w:r>
            <w:r>
              <w:rPr>
                <w:snapToGrid w:val="0"/>
                <w:sz w:val="22"/>
                <w:szCs w:val="22"/>
                <w:lang w:val="en"/>
              </w:rPr>
              <w:t>. Leiden et al.: Brill, 1990.</w:t>
            </w:r>
          </w:p>
          <w:p w14:paraId="658B0F0B" w14:textId="77777777" w:rsidR="00C46531" w:rsidRDefault="00C46531" w:rsidP="001D787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Flasch</w:t>
            </w:r>
            <w:proofErr w:type="spellEnd"/>
            <w:r>
              <w:rPr>
                <w:sz w:val="22"/>
                <w:szCs w:val="22"/>
              </w:rPr>
              <w:t xml:space="preserve">, Kurt. </w:t>
            </w:r>
            <w:proofErr w:type="spellStart"/>
            <w:r>
              <w:rPr>
                <w:i/>
                <w:iCs/>
                <w:sz w:val="22"/>
                <w:szCs w:val="22"/>
              </w:rPr>
              <w:t>Das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philosophische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Denken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im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Mittelalter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von Augustin zu </w:t>
            </w:r>
            <w:proofErr w:type="spellStart"/>
            <w:r>
              <w:rPr>
                <w:i/>
                <w:iCs/>
                <w:sz w:val="22"/>
                <w:szCs w:val="22"/>
              </w:rPr>
              <w:t>Macchiavelli</w:t>
            </w:r>
            <w:proofErr w:type="spellEnd"/>
            <w:r>
              <w:rPr>
                <w:sz w:val="22"/>
                <w:szCs w:val="22"/>
              </w:rPr>
              <w:t xml:space="preserve">. Stuttgart: </w:t>
            </w:r>
            <w:proofErr w:type="spellStart"/>
            <w:r>
              <w:rPr>
                <w:sz w:val="22"/>
                <w:szCs w:val="22"/>
              </w:rPr>
              <w:t>Reclam</w:t>
            </w:r>
            <w:proofErr w:type="spellEnd"/>
            <w:r>
              <w:rPr>
                <w:sz w:val="22"/>
                <w:szCs w:val="22"/>
              </w:rPr>
              <w:t>, 1986.</w:t>
            </w:r>
          </w:p>
          <w:p w14:paraId="22CD0F3C" w14:textId="77777777" w:rsidR="00C46531" w:rsidRDefault="00C46531" w:rsidP="001D787E">
            <w:pPr>
              <w:spacing w:after="0" w:line="240" w:lineRule="auto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Kobusch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, Theo. </w:t>
            </w:r>
            <w:proofErr w:type="spellStart"/>
            <w:r>
              <w:rPr>
                <w:i/>
                <w:iCs/>
                <w:snapToGrid w:val="0"/>
                <w:sz w:val="22"/>
                <w:szCs w:val="22"/>
              </w:rPr>
              <w:t>Die</w:t>
            </w:r>
            <w:proofErr w:type="spellEnd"/>
            <w:r>
              <w:rPr>
                <w:i/>
                <w:iCs/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napToGrid w:val="0"/>
                <w:sz w:val="22"/>
                <w:szCs w:val="22"/>
              </w:rPr>
              <w:t>Philosophie</w:t>
            </w:r>
            <w:proofErr w:type="spellEnd"/>
            <w:r>
              <w:rPr>
                <w:i/>
                <w:iCs/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napToGrid w:val="0"/>
                <w:sz w:val="22"/>
                <w:szCs w:val="22"/>
              </w:rPr>
              <w:t>des</w:t>
            </w:r>
            <w:proofErr w:type="spellEnd"/>
            <w:r>
              <w:rPr>
                <w:i/>
                <w:iCs/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napToGrid w:val="0"/>
                <w:sz w:val="22"/>
                <w:szCs w:val="22"/>
              </w:rPr>
              <w:t>Hoch</w:t>
            </w:r>
            <w:proofErr w:type="spellEnd"/>
            <w:r>
              <w:rPr>
                <w:i/>
                <w:iCs/>
                <w:snapToGrid w:val="0"/>
                <w:sz w:val="22"/>
                <w:szCs w:val="22"/>
              </w:rPr>
              <w:t xml:space="preserve">- und </w:t>
            </w:r>
            <w:proofErr w:type="spellStart"/>
            <w:r>
              <w:rPr>
                <w:i/>
                <w:iCs/>
                <w:snapToGrid w:val="0"/>
                <w:sz w:val="22"/>
                <w:szCs w:val="22"/>
              </w:rPr>
              <w:t>Spätmittelalters</w:t>
            </w:r>
            <w:proofErr w:type="spellEnd"/>
            <w:r>
              <w:rPr>
                <w:snapToGrid w:val="0"/>
                <w:sz w:val="22"/>
                <w:szCs w:val="22"/>
              </w:rPr>
              <w:t>. München: C.H. Beck, 2011.</w:t>
            </w:r>
          </w:p>
        </w:tc>
      </w:tr>
    </w:tbl>
    <w:p w14:paraId="54BE3A33" w14:textId="77777777" w:rsidR="00B11A97" w:rsidRDefault="00B11A97"/>
    <w:sectPr w:rsidR="00B11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Inter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31"/>
    <w:rsid w:val="002C18F4"/>
    <w:rsid w:val="006334CC"/>
    <w:rsid w:val="00B11A97"/>
    <w:rsid w:val="00B73634"/>
    <w:rsid w:val="00C4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B22D"/>
  <w15:chartTrackingRefBased/>
  <w15:docId w15:val="{56F9FAC2-EF68-45F7-B015-635716E8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6531"/>
    <w:pPr>
      <w:autoSpaceDE w:val="0"/>
      <w:autoSpaceDN w:val="0"/>
      <w:spacing w:line="278" w:lineRule="auto"/>
    </w:pPr>
    <w:rPr>
      <w:rFonts w:ascii="Calibri" w:eastAsiaTheme="minorEastAsia" w:hAnsi="Calibri" w:cs="Calibri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46531"/>
    <w:pPr>
      <w:keepNext/>
      <w:keepLines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46531"/>
    <w:pPr>
      <w:keepNext/>
      <w:keepLines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46531"/>
    <w:pPr>
      <w:keepNext/>
      <w:keepLines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46531"/>
    <w:pPr>
      <w:keepNext/>
      <w:keepLines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46531"/>
    <w:pPr>
      <w:keepNext/>
      <w:keepLines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46531"/>
    <w:pPr>
      <w:keepNext/>
      <w:keepLines/>
      <w:autoSpaceDE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46531"/>
    <w:pPr>
      <w:keepNext/>
      <w:keepLines/>
      <w:autoSpaceDE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46531"/>
    <w:pPr>
      <w:keepNext/>
      <w:keepLines/>
      <w:autoSpaceDE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46531"/>
    <w:pPr>
      <w:keepNext/>
      <w:keepLines/>
      <w:autoSpaceDE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46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46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46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4653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4653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4653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4653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4653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4653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46531"/>
    <w:pPr>
      <w:autoSpaceDE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C46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6531"/>
    <w:pPr>
      <w:numPr>
        <w:ilvl w:val="1"/>
      </w:numPr>
      <w:autoSpaceDE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C46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46531"/>
    <w:pPr>
      <w:autoSpaceDE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C4653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46531"/>
    <w:pPr>
      <w:autoSpaceDE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C4653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46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4653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465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Enesey Diána Dorisz</dc:creator>
  <cp:keywords/>
  <dc:description/>
  <cp:lastModifiedBy>Enesey Diána Dorisz</cp:lastModifiedBy>
  <cp:revision>1</cp:revision>
  <dcterms:created xsi:type="dcterms:W3CDTF">2026-07-22T13:47:00Z</dcterms:created>
  <dcterms:modified xsi:type="dcterms:W3CDTF">2026-07-22T13:47:00Z</dcterms:modified>
</cp:coreProperties>
</file>