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5"/>
        <w:gridCol w:w="6479"/>
      </w:tblGrid>
      <w:tr w:rsidR="00125CD6" w:rsidRPr="00125CD6" w14:paraId="7B7129EA" w14:textId="77777777"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E5BE9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>Tárgy neve</w:t>
            </w:r>
            <w:r w:rsidRPr="00125CD6"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  <w:t xml:space="preserve">: </w:t>
            </w:r>
          </w:p>
        </w:tc>
        <w:tc>
          <w:tcPr>
            <w:tcW w:w="64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78CACB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Középkori filozófia / Középkori filozófia és teológia (szeminárium)</w:t>
            </w:r>
          </w:p>
          <w:p w14:paraId="0E089CB9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Medieval Philosophy / Medieval Philosophy and Theology (Seminar)</w:t>
            </w:r>
          </w:p>
        </w:tc>
      </w:tr>
      <w:tr w:rsidR="00125CD6" w:rsidRPr="00125CD6" w14:paraId="75026F7F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1E580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 xml:space="preserve">Tárgy kódja: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AE4421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BMI-FILD-233.01</w:t>
            </w:r>
          </w:p>
          <w:p w14:paraId="1D787DA8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BMA-FILD-233.03</w:t>
            </w:r>
          </w:p>
          <w:p w14:paraId="32795D70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BBN-FIL-233.03</w:t>
            </w:r>
          </w:p>
        </w:tc>
      </w:tr>
      <w:tr w:rsidR="00125CD6" w:rsidRPr="00125CD6" w14:paraId="264F47EE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C44DB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>Tárgyfelelős neve:</w:t>
            </w:r>
            <w:r w:rsidRPr="00125CD6"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6A9127" w14:textId="4C64D43A" w:rsidR="00125CD6" w:rsidRPr="00125CD6" w:rsidRDefault="0001781E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lang w:eastAsia="hu-HU"/>
                <w14:ligatures w14:val="none"/>
              </w:rPr>
              <w:t>Geréby György László</w:t>
            </w:r>
          </w:p>
        </w:tc>
      </w:tr>
      <w:tr w:rsidR="00125CD6" w:rsidRPr="00125CD6" w14:paraId="06C92831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7493B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>Tárgyfelelős tudományos fokozata</w:t>
            </w:r>
            <w:r w:rsidRPr="00125CD6"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  <w:t xml:space="preserve">: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11391F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[]</w:t>
            </w:r>
          </w:p>
        </w:tc>
      </w:tr>
      <w:tr w:rsidR="00125CD6" w:rsidRPr="00125CD6" w14:paraId="45D7C005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78FAD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 xml:space="preserve">Oktató: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EFE2AD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Németh Csaba</w:t>
            </w:r>
          </w:p>
        </w:tc>
      </w:tr>
      <w:tr w:rsidR="00125CD6" w:rsidRPr="00125CD6" w14:paraId="2E0586A2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E4A00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 xml:space="preserve">Az oktatás célja: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998EBB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A forrásolvasás és a szövegek megvitatása által a hallgatók önreflexiója, elemzési készsége és kritikai attitűdje fejlődik. </w:t>
            </w:r>
          </w:p>
        </w:tc>
      </w:tr>
      <w:tr w:rsidR="00125CD6" w:rsidRPr="00125CD6" w14:paraId="28A4FF5D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ACCF8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>Az oktatás tartalma:</w:t>
            </w:r>
            <w:r w:rsidRPr="00125CD6"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6610F3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Az 5. és 13. század közötti filozófia (legyen bármennyire is sokszínű) jellemzően elhanyagolt terepe az populáris, angolszász mintákat követő filozófiatörténetnek. Ennek egyik oka az, hogy --kb. egy féltucatnyi téma kivételével-- nem kompatibilis sem a 13. század utáni, Arisztotelészre alapozó skolasztikával, sem az újkori filozófiával. A félév során ennek az időszaknak néhány kiemelkedő szerzőjét, szövegét fogjuk megismerni. </w:t>
            </w:r>
          </w:p>
        </w:tc>
      </w:tr>
      <w:tr w:rsidR="00125CD6" w:rsidRPr="00125CD6" w14:paraId="04454806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55864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>A számonkérés és értékelés rendszere: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7CEAB6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Aktív órai részvétel, írásbeli feladatok leadása határidőre, referátum. Idegennyelvű szövegolvasási készség (angol, német, francia) elvárt. Heti olvasmánymennyiség kb. 30-40 oldal, az olvasmányok és a bibliográfia részletes megadása az órán ill. a kurzus online felületén. Három hiányzás után az ELTE BTK SZMSZ szerinti szankciók. </w:t>
            </w:r>
          </w:p>
        </w:tc>
      </w:tr>
      <w:tr w:rsidR="00125CD6" w:rsidRPr="00125CD6" w14:paraId="14838C79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8C3FA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>Irodalom: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B337B2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Leinsle, Ulrich G. </w:t>
            </w: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A skolasztikus teológia története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>, ford. Görföl Tibor. Budapest: Osiris, 2007.</w:t>
            </w:r>
          </w:p>
          <w:p w14:paraId="726C7476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Borbély Gábor. </w:t>
            </w:r>
            <w:r w:rsidRPr="00125CD6">
              <w:rPr>
                <w:rFonts w:ascii="Calibri" w:eastAsia="Times New Roman" w:hAnsi="Calibri" w:cs="Calibri"/>
                <w:i/>
                <w:iCs/>
                <w:lang w:eastAsia="hu-HU"/>
                <w14:ligatures w14:val="none"/>
              </w:rPr>
              <w:t>Civakodó angyalok</w:t>
            </w: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. Budapest: Akadémiai, 2008.</w:t>
            </w:r>
          </w:p>
          <w:p w14:paraId="45BCDA0A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Johannes Saresberiensis, </w:t>
            </w:r>
            <w:r w:rsidRPr="00125CD6">
              <w:rPr>
                <w:rFonts w:ascii="Calibri" w:eastAsia="Times New Roman" w:hAnsi="Calibri" w:cs="Calibri"/>
                <w:i/>
                <w:iCs/>
                <w:lang w:eastAsia="hu-HU"/>
                <w14:ligatures w14:val="none"/>
              </w:rPr>
              <w:t>Metalogicon</w:t>
            </w: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, ford. Adamik Tamás. Budapest: Szent István Társulat, 2003.</w:t>
            </w:r>
          </w:p>
          <w:p w14:paraId="79057F2E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Hugo de Sancto Victore, </w:t>
            </w:r>
            <w:r w:rsidRPr="00125CD6">
              <w:rPr>
                <w:rFonts w:ascii="Calibri" w:eastAsia="Times New Roman" w:hAnsi="Calibri" w:cs="Calibri"/>
                <w:i/>
                <w:iCs/>
                <w:lang w:eastAsia="hu-HU"/>
                <w14:ligatures w14:val="none"/>
              </w:rPr>
              <w:t>A Didascalicon III. könyve az olvasás rendjéről, metódusáról, és a fegyelemről</w:t>
            </w: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, ford. Németh Csaba, </w:t>
            </w:r>
            <w:r w:rsidRPr="00125CD6">
              <w:rPr>
                <w:rFonts w:ascii="Calibri" w:eastAsia="Times New Roman" w:hAnsi="Calibri" w:cs="Calibri"/>
                <w:i/>
                <w:iCs/>
                <w:lang w:eastAsia="hu-HU"/>
                <w14:ligatures w14:val="none"/>
              </w:rPr>
              <w:t>Vallástudományi Szemle</w:t>
            </w: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 19/2 (2023), 121-144.</w:t>
            </w:r>
          </w:p>
          <w:p w14:paraId="62ED07D6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Szent Ágoston. </w:t>
            </w: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A keresztény tanításról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>. ford. Városi István, vagy ford. Böröczki Tamás (Budapest: Kairosz -- Paulus Hungarus, 2001).</w:t>
            </w:r>
          </w:p>
          <w:p w14:paraId="3A528DF6" w14:textId="77777777" w:rsidR="00125CD6" w:rsidRPr="00125CD6" w:rsidRDefault="00125CD6" w:rsidP="00125CD6">
            <w:pPr>
              <w:widowControl w:val="0"/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Boethius. A filozófia vígasztalása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, ford. Hegyi György (két, eltérő formátumú kiadás, a preferált: Budapest: Helikon, 1979). </w:t>
            </w:r>
          </w:p>
          <w:p w14:paraId="0C1CDB74" w14:textId="77777777" w:rsidR="00125CD6" w:rsidRPr="00125CD6" w:rsidRDefault="00125CD6" w:rsidP="00125CD6">
            <w:pPr>
              <w:widowControl w:val="0"/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Johannes Scottus Eriugena. A természetekről (Periphyseon) I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>, ford. Vassányi Miklós. Budapest: Szent István, 2015.</w:t>
            </w:r>
          </w:p>
          <w:p w14:paraId="4A1BB6C0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Canterburyi Anzelm, </w:t>
            </w: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Proslogion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, ford. Dér Katalin, in </w:t>
            </w: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Canterbury Szent Anzelm.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 </w:t>
            </w: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Filozófiai és teológiai művek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 I (Budapest: Osiris, 2001) = </w:t>
            </w: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Canterburyi Szent Anzelm összes művei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 (Budapest: Szent István, 2007). </w:t>
            </w:r>
          </w:p>
          <w:p w14:paraId="243EB3C7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Petrus Abaelardus [Sic et non, prológus (részlet)] = Dévény István (ford.), “Petrus Abaelardus: Sic et non”, </w:t>
            </w:r>
            <w:r w:rsidRPr="00125CD6">
              <w:rPr>
                <w:rFonts w:ascii="Calibri" w:eastAsia="Times New Roman" w:hAnsi="Calibri" w:cs="Calibri"/>
                <w:i/>
                <w:iCs/>
                <w:lang w:eastAsia="hu-HU"/>
                <w14:ligatures w14:val="none"/>
              </w:rPr>
              <w:t>Palimpszeszt</w:t>
            </w: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 13 (1999). </w:t>
            </w:r>
          </w:p>
        </w:tc>
      </w:tr>
      <w:tr w:rsidR="00125CD6" w:rsidRPr="00125CD6" w14:paraId="37E6A2A3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0B3C2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>Az oktatás célja angolul:</w:t>
            </w:r>
            <w:r w:rsidRPr="00125CD6"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ECDCFD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Reading the centuries-old sources raises the students’ self-reflection, hermeneutic awareness, analytical skills and critical attitude. </w:t>
            </w:r>
          </w:p>
        </w:tc>
      </w:tr>
      <w:tr w:rsidR="00125CD6" w:rsidRPr="00125CD6" w14:paraId="4111D6DE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A210E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>Az oktatás tartalma angolul</w:t>
            </w:r>
            <w:r w:rsidRPr="00125CD6"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  <w:t>: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D2E7C3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The philosophy between the fifth and thirteenth centuries is often a neglected field in the popular short histories of philosophy of the Anglosphere since (apart from a handful of themes) it is incompatible with both the Aristotle-based Scholasticism and the Modern philosophy. The seminar will discuss a few remarkable authors and texts of this centuries-long period. </w:t>
            </w:r>
          </w:p>
        </w:tc>
      </w:tr>
      <w:tr w:rsidR="00125CD6" w:rsidRPr="00125CD6" w14:paraId="3BB6D6F7" w14:textId="77777777"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CD0DF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lastRenderedPageBreak/>
              <w:t>A számonkérés és értékelés rendszere angolul:</w:t>
            </w:r>
            <w:r w:rsidRPr="00125CD6">
              <w:rPr>
                <w:rFonts w:ascii="Times New Roman" w:eastAsia="Times New Roman" w:hAnsi="Times New Roman" w:cs="Times New Roman"/>
                <w:lang w:eastAsia="hu-HU"/>
                <w14:ligatures w14:val="none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95ED21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Active participation on the classes, on-time submission of homeworks, one short presentation.</w:t>
            </w:r>
          </w:p>
        </w:tc>
      </w:tr>
      <w:tr w:rsidR="00125CD6" w:rsidRPr="00125CD6" w14:paraId="5386B84D" w14:textId="77777777">
        <w:tc>
          <w:tcPr>
            <w:tcW w:w="33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061A29C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Times New Roman" w:eastAsia="Times New Roman" w:hAnsi="Times New Roman" w:cs="Times New Roman"/>
                <w:b/>
                <w:bCs/>
                <w:lang w:eastAsia="hu-HU"/>
                <w14:ligatures w14:val="none"/>
              </w:rPr>
              <w:t xml:space="preserve">Idegen nyelven történő indítás esetén az adott idegen nyelvű irodalom: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CA8358D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The Cambridge History of Later Greek and Early Medieval Philosophy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>, ed. A. H. Armstrong. CUP, 2008.</w:t>
            </w:r>
          </w:p>
          <w:p w14:paraId="0C1B5E3C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The Cambridge History of Later Medieval Philosophy from the rediscovery of Aristotle to the disintegration of scholasticism 1100-1600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, ed. N. Kretzmann, A. Kenny, J. Pinborg. CUP, 1982. </w:t>
            </w:r>
          </w:p>
          <w:p w14:paraId="10FAC897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 xml:space="preserve">Chenu, Marie-Dominique. </w:t>
            </w:r>
            <w:r w:rsidRPr="00125CD6">
              <w:rPr>
                <w:rFonts w:ascii="Calibri" w:eastAsia="Times New Roman" w:hAnsi="Calibri" w:cs="Calibri"/>
                <w:i/>
                <w:iCs/>
                <w:lang w:eastAsia="hu-HU"/>
                <w14:ligatures w14:val="none"/>
              </w:rPr>
              <w:t>Nature, man, and society in the twelfth century : essays on new theological perspectives in the Latin West</w:t>
            </w:r>
            <w:r w:rsidRPr="00125CD6">
              <w:rPr>
                <w:rFonts w:ascii="Calibri" w:eastAsia="Times New Roman" w:hAnsi="Calibri" w:cs="Calibri"/>
                <w:lang w:eastAsia="hu-HU"/>
                <w14:ligatures w14:val="none"/>
              </w:rPr>
              <w:t>, tr. Jerome Taylor, L. K. Little. Toronto et al.: University of Toronto Press, 1997.</w:t>
            </w:r>
          </w:p>
          <w:p w14:paraId="7FEE0372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 xml:space="preserve">Imbach, Ruedi. </w:t>
            </w: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eastAsia="hu-HU"/>
                <w14:ligatures w14:val="none"/>
              </w:rPr>
              <w:t>Die Philosophie im lateinischen Mittelalter. Ein Handbuch mit einem bio-bibliographischen Repertorium</w:t>
            </w:r>
            <w:r w:rsidRPr="00125CD6">
              <w:rPr>
                <w:rFonts w:ascii="Calibri" w:eastAsia="Times New Roman" w:hAnsi="Calibri" w:cs="Calibri"/>
                <w:snapToGrid w:val="0"/>
                <w:lang w:eastAsia="hu-HU"/>
                <w14:ligatures w14:val="none"/>
              </w:rPr>
              <w:t>. Zürich und Düsseldorf: Artemis &amp; Winkler, 1996.</w:t>
            </w:r>
          </w:p>
          <w:p w14:paraId="69072E43" w14:textId="77777777" w:rsidR="00125CD6" w:rsidRPr="00125CD6" w:rsidRDefault="00125CD6" w:rsidP="00125CD6">
            <w:pPr>
              <w:autoSpaceDE w:val="0"/>
              <w:autoSpaceDN w:val="0"/>
              <w:spacing w:after="0" w:line="240" w:lineRule="auto"/>
              <w:ind w:left="720" w:hanging="720"/>
              <w:jc w:val="both"/>
              <w:rPr>
                <w:rFonts w:ascii="Calibri" w:eastAsia="Times New Roman" w:hAnsi="Calibri" w:cs="Calibri"/>
                <w:b/>
                <w:bCs/>
                <w:lang w:eastAsia="hu-HU"/>
                <w14:ligatures w14:val="none"/>
              </w:rPr>
            </w:pPr>
            <w:r w:rsidRPr="00125CD6">
              <w:rPr>
                <w:rFonts w:ascii="Calibri" w:eastAsia="Times New Roman" w:hAnsi="Calibri" w:cs="Calibri"/>
                <w:i/>
                <w:iCs/>
                <w:snapToGrid w:val="0"/>
                <w:lang w:val="en-GB" w:eastAsia="hu-HU"/>
                <w14:ligatures w14:val="none"/>
              </w:rPr>
              <w:t>Renaissance and Renewal in the Twelfth Century</w:t>
            </w:r>
            <w:r w:rsidRPr="00125CD6">
              <w:rPr>
                <w:rFonts w:ascii="Calibri" w:eastAsia="Times New Roman" w:hAnsi="Calibri" w:cs="Calibri"/>
                <w:snapToGrid w:val="0"/>
                <w:lang w:val="en-GB" w:eastAsia="hu-HU"/>
                <w14:ligatures w14:val="none"/>
              </w:rPr>
              <w:t>, ed. R.L. Benson, G. Constable, C.D. Langham. Toronto: U of Toronto Press, 1991.</w:t>
            </w:r>
          </w:p>
        </w:tc>
      </w:tr>
    </w:tbl>
    <w:p w14:paraId="72593464" w14:textId="77777777" w:rsidR="00125CD6" w:rsidRPr="00125CD6" w:rsidRDefault="00125CD6" w:rsidP="00125CD6">
      <w:pPr>
        <w:autoSpaceDE w:val="0"/>
        <w:autoSpaceDN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i/>
          <w:iCs/>
          <w:snapToGrid w:val="0"/>
          <w:lang w:eastAsia="hu-HU"/>
          <w14:ligatures w14:val="none"/>
        </w:rPr>
      </w:pPr>
    </w:p>
    <w:p w14:paraId="633BD909" w14:textId="77777777" w:rsidR="00125CD6" w:rsidRPr="00125CD6" w:rsidRDefault="00125CD6" w:rsidP="00125CD6">
      <w:pPr>
        <w:autoSpaceDE w:val="0"/>
        <w:autoSpaceDN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lang w:eastAsia="hu-HU"/>
          <w14:ligatures w14:val="none"/>
        </w:rPr>
      </w:pPr>
      <w:r w:rsidRPr="00125CD6">
        <w:rPr>
          <w:rFonts w:ascii="Calibri" w:eastAsia="Times New Roman" w:hAnsi="Calibri" w:cs="Calibri"/>
          <w:lang w:eastAsia="hu-HU"/>
          <w14:ligatures w14:val="none"/>
        </w:rPr>
        <w:t xml:space="preserve"> </w:t>
      </w:r>
    </w:p>
    <w:p w14:paraId="6D0F00F6" w14:textId="584BF8EC" w:rsidR="00B11A97" w:rsidRPr="00125CD6" w:rsidRDefault="00125CD6" w:rsidP="00125CD6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hu-HU"/>
          <w14:ligatures w14:val="none"/>
        </w:rPr>
      </w:pPr>
      <w:r w:rsidRPr="00125CD6">
        <w:rPr>
          <w:rFonts w:ascii="Calibri" w:eastAsia="Times New Roman" w:hAnsi="Calibri" w:cs="Calibri"/>
          <w:lang w:eastAsia="hu-HU"/>
          <w14:ligatures w14:val="none"/>
        </w:rPr>
        <w:br w:type="page"/>
      </w:r>
    </w:p>
    <w:sectPr w:rsidR="00B11A97" w:rsidRPr="00125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D6"/>
    <w:rsid w:val="0001781E"/>
    <w:rsid w:val="00125CD6"/>
    <w:rsid w:val="002C18F4"/>
    <w:rsid w:val="006334CC"/>
    <w:rsid w:val="00B11A97"/>
    <w:rsid w:val="00DD3683"/>
    <w:rsid w:val="00E0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7CA3"/>
  <w15:chartTrackingRefBased/>
  <w15:docId w15:val="{0A888BF2-B573-4C38-91D0-CBA37BC7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25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25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25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25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25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25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25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25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25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25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25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25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25CD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25CD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25CD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25CD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25CD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25CD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25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25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25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25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25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25CD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25CD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25CD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25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25CD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25C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Enesey Diána Dorisz</dc:creator>
  <cp:keywords/>
  <dc:description/>
  <cp:lastModifiedBy>Enesey Diána Dorisz</cp:lastModifiedBy>
  <cp:revision>3</cp:revision>
  <dcterms:created xsi:type="dcterms:W3CDTF">2026-07-22T14:03:00Z</dcterms:created>
  <dcterms:modified xsi:type="dcterms:W3CDTF">2026-07-22T14:05:00Z</dcterms:modified>
</cp:coreProperties>
</file>