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2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205778" w14:paraId="31B6CCD9" w14:textId="77777777" w:rsidTr="0055341A">
        <w:tc>
          <w:tcPr>
            <w:tcW w:w="9212" w:type="dxa"/>
          </w:tcPr>
          <w:p w14:paraId="5E926843" w14:textId="77777777" w:rsidR="00205778" w:rsidRDefault="00205778">
            <w:r>
              <w:t>Kurzus kódja:</w:t>
            </w:r>
            <w:r w:rsidR="00DB42F7">
              <w:t xml:space="preserve"> BBN-FIL-236</w:t>
            </w:r>
            <w:r w:rsidR="00651C52">
              <w:t xml:space="preserve">; </w:t>
            </w:r>
            <w:r w:rsidR="00DB42F7">
              <w:t>BBN-FIL-402;</w:t>
            </w:r>
            <w:r w:rsidR="00651C52">
              <w:t xml:space="preserve"> BMA-FILD</w:t>
            </w:r>
            <w:r w:rsidR="00DB42F7">
              <w:t>-236</w:t>
            </w:r>
            <w:r w:rsidR="00651C52">
              <w:t>; BMA-FILD-</w:t>
            </w:r>
            <w:r w:rsidR="00DB42F7">
              <w:t>402</w:t>
            </w:r>
            <w:r w:rsidR="00651C52">
              <w:t>; TANM-236</w:t>
            </w:r>
          </w:p>
        </w:tc>
      </w:tr>
      <w:tr w:rsidR="00205778" w14:paraId="679E0B51" w14:textId="77777777" w:rsidTr="0055341A">
        <w:tc>
          <w:tcPr>
            <w:tcW w:w="9212" w:type="dxa"/>
          </w:tcPr>
          <w:p w14:paraId="4CDD79FF" w14:textId="77777777" w:rsidR="00205778" w:rsidRDefault="00205778">
            <w:r>
              <w:t>Kurzus megnevezése:</w:t>
            </w:r>
            <w:r w:rsidR="00651C52">
              <w:t xml:space="preserve"> Hermeneutikai pozíciók</w:t>
            </w:r>
          </w:p>
        </w:tc>
      </w:tr>
      <w:tr w:rsidR="00205778" w14:paraId="6C6C2F22" w14:textId="77777777" w:rsidTr="0055341A">
        <w:tc>
          <w:tcPr>
            <w:tcW w:w="9212" w:type="dxa"/>
          </w:tcPr>
          <w:p w14:paraId="352520E8" w14:textId="77777777" w:rsidR="00205778" w:rsidRDefault="00D439CA">
            <w:r>
              <w:t>Kurzus megnevezése angolul</w:t>
            </w:r>
            <w:r w:rsidR="00737B5D">
              <w:t>:</w:t>
            </w:r>
            <w:r w:rsidR="00651C52">
              <w:t xml:space="preserve"> </w:t>
            </w:r>
            <w:proofErr w:type="spellStart"/>
            <w:r w:rsidR="00651C52">
              <w:t>Hermeneutic</w:t>
            </w:r>
            <w:proofErr w:type="spellEnd"/>
            <w:r w:rsidR="00651C52">
              <w:t xml:space="preserve"> </w:t>
            </w:r>
            <w:proofErr w:type="spellStart"/>
            <w:r w:rsidR="00651C52">
              <w:t>positions</w:t>
            </w:r>
            <w:proofErr w:type="spellEnd"/>
          </w:p>
        </w:tc>
      </w:tr>
      <w:tr w:rsidR="00D439CA" w14:paraId="1BF610FE" w14:textId="77777777" w:rsidTr="0055341A">
        <w:tc>
          <w:tcPr>
            <w:tcW w:w="9212" w:type="dxa"/>
          </w:tcPr>
          <w:p w14:paraId="0D5916CD" w14:textId="6777C591" w:rsidR="00217948" w:rsidRDefault="00FA3D9E" w:rsidP="00737B5D">
            <w:pPr>
              <w:suppressAutoHyphens/>
              <w:jc w:val="center"/>
              <w:rPr>
                <w:b/>
                <w:bCs/>
                <w:color w:val="0000FF"/>
              </w:rPr>
            </w:pPr>
            <w:r>
              <w:rPr>
                <w:b/>
                <w:bCs/>
                <w:color w:val="0000FF"/>
              </w:rPr>
              <w:t>SZERDA</w:t>
            </w:r>
            <w:r w:rsidR="00E00F7E">
              <w:rPr>
                <w:b/>
                <w:bCs/>
                <w:color w:val="0000FF"/>
              </w:rPr>
              <w:t xml:space="preserve"> 1</w:t>
            </w:r>
            <w:r w:rsidR="00DD77F9">
              <w:rPr>
                <w:b/>
                <w:bCs/>
                <w:color w:val="0000FF"/>
              </w:rPr>
              <w:t>2</w:t>
            </w:r>
            <w:r w:rsidR="00E00F7E">
              <w:rPr>
                <w:b/>
                <w:bCs/>
                <w:color w:val="0000FF"/>
              </w:rPr>
              <w:t>-1</w:t>
            </w:r>
            <w:r w:rsidR="00DD77F9">
              <w:rPr>
                <w:b/>
                <w:bCs/>
                <w:color w:val="0000FF"/>
              </w:rPr>
              <w:t>3</w:t>
            </w:r>
            <w:r w:rsidR="00217948">
              <w:rPr>
                <w:b/>
                <w:bCs/>
                <w:color w:val="0000FF"/>
              </w:rPr>
              <w:t>.30</w:t>
            </w:r>
          </w:p>
          <w:p w14:paraId="2DCC7C3B" w14:textId="77777777" w:rsidR="00787E1C" w:rsidRDefault="00787E1C" w:rsidP="00737B5D">
            <w:pPr>
              <w:suppressAutoHyphens/>
              <w:jc w:val="center"/>
              <w:rPr>
                <w:b/>
                <w:bCs/>
                <w:color w:val="0000FF"/>
              </w:rPr>
            </w:pPr>
            <w:r>
              <w:rPr>
                <w:b/>
                <w:bCs/>
                <w:color w:val="0000FF"/>
              </w:rPr>
              <w:t xml:space="preserve">A </w:t>
            </w:r>
            <w:r w:rsidR="00737B5D">
              <w:rPr>
                <w:b/>
                <w:bCs/>
                <w:color w:val="0000FF"/>
              </w:rPr>
              <w:t>KURZUS ELSŐ FOGLALKOZÁSÁ</w:t>
            </w:r>
            <w:r>
              <w:rPr>
                <w:b/>
                <w:bCs/>
                <w:color w:val="0000FF"/>
              </w:rPr>
              <w:t xml:space="preserve">RA </w:t>
            </w:r>
          </w:p>
          <w:p w14:paraId="18C6C165" w14:textId="542B7862" w:rsidR="00737B5D" w:rsidRPr="00737B5D" w:rsidRDefault="00FA3D9E" w:rsidP="00737B5D">
            <w:pPr>
              <w:suppressAutoHyphens/>
              <w:jc w:val="center"/>
              <w:rPr>
                <w:b/>
                <w:bCs/>
                <w:color w:val="0000FF"/>
              </w:rPr>
            </w:pPr>
            <w:r>
              <w:rPr>
                <w:b/>
                <w:bCs/>
                <w:color w:val="0000FF"/>
              </w:rPr>
              <w:t>SZEPTEMBER 30</w:t>
            </w:r>
            <w:r w:rsidR="00787E1C">
              <w:rPr>
                <w:b/>
                <w:bCs/>
                <w:color w:val="0000FF"/>
              </w:rPr>
              <w:t>-</w:t>
            </w:r>
            <w:r>
              <w:rPr>
                <w:b/>
                <w:bCs/>
                <w:color w:val="0000FF"/>
              </w:rPr>
              <w:t>Á</w:t>
            </w:r>
            <w:r w:rsidR="00787E1C">
              <w:rPr>
                <w:b/>
                <w:bCs/>
                <w:color w:val="0000FF"/>
              </w:rPr>
              <w:t xml:space="preserve">N </w:t>
            </w:r>
            <w:r>
              <w:rPr>
                <w:b/>
                <w:bCs/>
                <w:color w:val="0000FF"/>
              </w:rPr>
              <w:t>K</w:t>
            </w:r>
            <w:r w:rsidR="00787E1C">
              <w:rPr>
                <w:b/>
                <w:bCs/>
                <w:color w:val="0000FF"/>
              </w:rPr>
              <w:t xml:space="preserve">ERÜL SOR </w:t>
            </w:r>
          </w:p>
        </w:tc>
      </w:tr>
      <w:tr w:rsidR="00F2521B" w14:paraId="1404D91F" w14:textId="77777777" w:rsidTr="0055341A">
        <w:tc>
          <w:tcPr>
            <w:tcW w:w="9212" w:type="dxa"/>
          </w:tcPr>
          <w:p w14:paraId="49F696D2" w14:textId="77777777" w:rsidR="00F2521B" w:rsidRDefault="00F2521B" w:rsidP="00E6609E">
            <w:pPr>
              <w:suppressAutoHyphens/>
            </w:pPr>
            <w:r>
              <w:t>Kurzus előadója:</w:t>
            </w:r>
          </w:p>
        </w:tc>
      </w:tr>
    </w:tbl>
    <w:p w14:paraId="190A4425" w14:textId="77777777" w:rsidR="0055341A" w:rsidRDefault="0055341A" w:rsidP="0055341A"/>
    <w:tbl>
      <w:tblPr>
        <w:tblW w:w="921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0"/>
      </w:tblGrid>
      <w:tr w:rsidR="0055341A" w14:paraId="300474EC" w14:textId="77777777" w:rsidTr="0055341A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4F6AA" w14:textId="77777777" w:rsidR="0055341A" w:rsidRDefault="0055341A">
            <w:proofErr w:type="spellStart"/>
            <w:r>
              <w:rPr>
                <w:b/>
              </w:rPr>
              <w:t>Neptunbeli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cimke</w:t>
            </w:r>
            <w:proofErr w:type="spellEnd"/>
            <w:r>
              <w:rPr>
                <w:b/>
              </w:rPr>
              <w:t>: Oktatás célja</w:t>
            </w:r>
          </w:p>
          <w:p w14:paraId="1FD7AC94" w14:textId="77777777" w:rsidR="0055341A" w:rsidRDefault="009078D9" w:rsidP="002C003A">
            <w:pPr>
              <w:rPr>
                <w:spacing w:val="-3"/>
              </w:rPr>
            </w:pPr>
            <w:r w:rsidRPr="007A7422">
              <w:t xml:space="preserve">A kurzus célja klasszikus hermeneutikai álláspontok elemzése és tárgyalása. A koncepciók kiválasztásában </w:t>
            </w:r>
            <w:proofErr w:type="spellStart"/>
            <w:r w:rsidRPr="007A7422">
              <w:t>Gadamer</w:t>
            </w:r>
            <w:proofErr w:type="spellEnd"/>
            <w:r w:rsidRPr="007A7422">
              <w:t xml:space="preserve"> filozófiai hermeneutikája adja a fő orientációt, s ezért négy olyan pozíció áll előtérben, mely a megértés, értelmezés jelenségét valamilyen módon alapvetőnek tartja: </w:t>
            </w:r>
            <w:proofErr w:type="spellStart"/>
            <w:r w:rsidRPr="007A7422">
              <w:t>Schleiermacher</w:t>
            </w:r>
            <w:proofErr w:type="spellEnd"/>
            <w:r>
              <w:t xml:space="preserve">, </w:t>
            </w:r>
            <w:proofErr w:type="spellStart"/>
            <w:r>
              <w:t>Dilthey</w:t>
            </w:r>
            <w:proofErr w:type="spellEnd"/>
            <w:r>
              <w:t xml:space="preserve">, Heidegger, </w:t>
            </w:r>
            <w:proofErr w:type="spellStart"/>
            <w:r>
              <w:t>Gadamer</w:t>
            </w:r>
            <w:proofErr w:type="spellEnd"/>
            <w:r w:rsidRPr="007A7422">
              <w:t>.</w:t>
            </w:r>
          </w:p>
        </w:tc>
      </w:tr>
    </w:tbl>
    <w:p w14:paraId="36063C54" w14:textId="77777777" w:rsidR="0055341A" w:rsidRDefault="0055341A" w:rsidP="0055341A"/>
    <w:p w14:paraId="28453E01" w14:textId="77777777" w:rsidR="0055341A" w:rsidRDefault="0055341A" w:rsidP="0055341A"/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2"/>
      </w:tblGrid>
      <w:tr w:rsidR="0055341A" w14:paraId="282456C3" w14:textId="77777777" w:rsidTr="0055341A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87DE4" w14:textId="77777777" w:rsidR="0055341A" w:rsidRDefault="0055341A">
            <w:pPr>
              <w:rPr>
                <w:b/>
              </w:rPr>
            </w:pPr>
            <w:proofErr w:type="spellStart"/>
            <w:r>
              <w:rPr>
                <w:b/>
              </w:rPr>
              <w:t>Neptunbeli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cimke</w:t>
            </w:r>
            <w:proofErr w:type="spellEnd"/>
            <w:r>
              <w:rPr>
                <w:b/>
              </w:rPr>
              <w:t>: Tantárgy tartalma</w:t>
            </w:r>
          </w:p>
          <w:p w14:paraId="5AB238EB" w14:textId="77777777" w:rsidR="0055341A" w:rsidRDefault="0055341A">
            <w:pPr>
              <w:rPr>
                <w:b/>
              </w:rPr>
            </w:pPr>
          </w:p>
          <w:p w14:paraId="023E65D8" w14:textId="77777777" w:rsidR="009078D9" w:rsidRDefault="009078D9" w:rsidP="009078D9">
            <w:r>
              <w:t>A szeminárium elsősorban a VI. filozófiatörténeti kollokvium anyagához kapcsolódik, és közelebbről vizsgálja a következő problémakomplexumokat:</w:t>
            </w:r>
          </w:p>
          <w:p w14:paraId="2ED5B41C" w14:textId="77777777" w:rsidR="009078D9" w:rsidRDefault="009078D9" w:rsidP="009078D9">
            <w:pPr>
              <w:tabs>
                <w:tab w:val="num" w:pos="720"/>
              </w:tabs>
              <w:jc w:val="both"/>
            </w:pPr>
            <w:r>
              <w:t>1. Hermeneutikai előzmények</w:t>
            </w:r>
          </w:p>
          <w:p w14:paraId="576B6932" w14:textId="77777777" w:rsidR="009078D9" w:rsidRDefault="009078D9" w:rsidP="009078D9">
            <w:pPr>
              <w:tabs>
                <w:tab w:val="num" w:pos="720"/>
              </w:tabs>
              <w:jc w:val="both"/>
            </w:pPr>
            <w:r>
              <w:t xml:space="preserve">2. </w:t>
            </w:r>
            <w:proofErr w:type="spellStart"/>
            <w:r w:rsidRPr="007A7422">
              <w:t>Schleiermacher</w:t>
            </w:r>
            <w:proofErr w:type="spellEnd"/>
            <w:r>
              <w:t xml:space="preserve"> </w:t>
            </w:r>
            <w:r w:rsidRPr="007A7422">
              <w:t>univerzális hermeneutikája</w:t>
            </w:r>
          </w:p>
          <w:p w14:paraId="4EAF7788" w14:textId="77777777" w:rsidR="009078D9" w:rsidRDefault="009078D9" w:rsidP="009078D9">
            <w:pPr>
              <w:tabs>
                <w:tab w:val="num" w:pos="720"/>
              </w:tabs>
              <w:jc w:val="both"/>
            </w:pPr>
            <w:r>
              <w:t xml:space="preserve">3. </w:t>
            </w:r>
            <w:proofErr w:type="spellStart"/>
            <w:r w:rsidRPr="007A7422">
              <w:t>Dilthey</w:t>
            </w:r>
            <w:proofErr w:type="spellEnd"/>
            <w:r w:rsidRPr="007A7422">
              <w:t xml:space="preserve"> szellemtudomány-koncepciója és ennek hermeneutikai megalapozása</w:t>
            </w:r>
          </w:p>
          <w:p w14:paraId="3C898A7A" w14:textId="77777777" w:rsidR="009078D9" w:rsidRDefault="009078D9" w:rsidP="009078D9">
            <w:pPr>
              <w:tabs>
                <w:tab w:val="num" w:pos="720"/>
              </w:tabs>
              <w:jc w:val="both"/>
            </w:pPr>
            <w:r>
              <w:t xml:space="preserve">4. </w:t>
            </w:r>
            <w:r w:rsidRPr="007A7422">
              <w:t xml:space="preserve">Heidegger </w:t>
            </w:r>
            <w:r>
              <w:t xml:space="preserve">hermeneutikai </w:t>
            </w:r>
            <w:r w:rsidRPr="007A7422">
              <w:t>ittlét-analitikája</w:t>
            </w:r>
            <w:r>
              <w:t xml:space="preserve"> </w:t>
            </w:r>
          </w:p>
          <w:p w14:paraId="03923DA5" w14:textId="77777777" w:rsidR="009078D9" w:rsidRDefault="009078D9" w:rsidP="009078D9">
            <w:pPr>
              <w:tabs>
                <w:tab w:val="num" w:pos="720"/>
              </w:tabs>
              <w:jc w:val="both"/>
            </w:pPr>
            <w:r>
              <w:t xml:space="preserve">5. </w:t>
            </w:r>
            <w:proofErr w:type="spellStart"/>
            <w:r>
              <w:t>Gadamer</w:t>
            </w:r>
            <w:proofErr w:type="spellEnd"/>
            <w:r>
              <w:t xml:space="preserve"> filozófiai hermeneutikája</w:t>
            </w:r>
          </w:p>
          <w:p w14:paraId="1C5395D2" w14:textId="77777777" w:rsidR="009078D9" w:rsidRDefault="009078D9" w:rsidP="009078D9">
            <w:pPr>
              <w:tabs>
                <w:tab w:val="num" w:pos="720"/>
              </w:tabs>
              <w:jc w:val="both"/>
            </w:pPr>
            <w:r>
              <w:t xml:space="preserve">6. Kitekintés, újabb fejlemények (Habermas, </w:t>
            </w:r>
            <w:proofErr w:type="spellStart"/>
            <w:r>
              <w:t>Ricoeur</w:t>
            </w:r>
            <w:proofErr w:type="spellEnd"/>
            <w:r>
              <w:t>)</w:t>
            </w:r>
          </w:p>
          <w:p w14:paraId="4DA75994" w14:textId="77777777" w:rsidR="00FF6CDC" w:rsidRDefault="00FF6CDC" w:rsidP="009078D9">
            <w:pPr>
              <w:rPr>
                <w:spacing w:val="-3"/>
              </w:rPr>
            </w:pPr>
          </w:p>
        </w:tc>
      </w:tr>
    </w:tbl>
    <w:p w14:paraId="15214212" w14:textId="77777777" w:rsidR="0055341A" w:rsidRDefault="0055341A" w:rsidP="0055341A"/>
    <w:p w14:paraId="37F06E1A" w14:textId="77777777" w:rsidR="0055341A" w:rsidRDefault="0055341A" w:rsidP="0055341A"/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2"/>
      </w:tblGrid>
      <w:tr w:rsidR="0055341A" w14:paraId="783921CC" w14:textId="77777777" w:rsidTr="0055341A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CB2D0" w14:textId="77777777" w:rsidR="0055341A" w:rsidRDefault="0055341A">
            <w:pPr>
              <w:rPr>
                <w:b/>
              </w:rPr>
            </w:pPr>
            <w:proofErr w:type="spellStart"/>
            <w:r>
              <w:rPr>
                <w:b/>
              </w:rPr>
              <w:t>Neptunbeli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cimke</w:t>
            </w:r>
            <w:proofErr w:type="spellEnd"/>
            <w:r>
              <w:rPr>
                <w:b/>
              </w:rPr>
              <w:t>: Számonkérési és értékelési rendszere</w:t>
            </w:r>
          </w:p>
          <w:p w14:paraId="6B24A775" w14:textId="77777777" w:rsidR="00FF6CDC" w:rsidRDefault="009078D9">
            <w:pPr>
              <w:rPr>
                <w:spacing w:val="-3"/>
              </w:rPr>
            </w:pPr>
            <w:r>
              <w:t>A jegyszerzés módja szóbeli beszámoló vagy dolgozat, figyelembe véve az órai jelenlétet is.</w:t>
            </w:r>
          </w:p>
        </w:tc>
      </w:tr>
    </w:tbl>
    <w:p w14:paraId="42D27756" w14:textId="77777777" w:rsidR="0055341A" w:rsidRDefault="0055341A" w:rsidP="0055341A"/>
    <w:p w14:paraId="1F38EB32" w14:textId="77777777" w:rsidR="0055341A" w:rsidRDefault="0055341A" w:rsidP="0055341A"/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2"/>
      </w:tblGrid>
      <w:tr w:rsidR="0055341A" w14:paraId="7722D35A" w14:textId="77777777" w:rsidTr="0055341A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3A58B" w14:textId="77777777" w:rsidR="0055341A" w:rsidRDefault="0055341A">
            <w:proofErr w:type="spellStart"/>
            <w:r>
              <w:rPr>
                <w:b/>
              </w:rPr>
              <w:t>Neptunbeli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cimke</w:t>
            </w:r>
            <w:proofErr w:type="spellEnd"/>
            <w:r>
              <w:rPr>
                <w:b/>
              </w:rPr>
              <w:t>: Irodalom</w:t>
            </w:r>
          </w:p>
          <w:p w14:paraId="5212B12B" w14:textId="77777777" w:rsidR="009078D9" w:rsidRPr="007A7422" w:rsidRDefault="009078D9" w:rsidP="009078D9">
            <w:pPr>
              <w:pStyle w:val="Default"/>
              <w:jc w:val="both"/>
            </w:pPr>
            <w:r w:rsidRPr="007A7422">
              <w:t xml:space="preserve">F. </w:t>
            </w:r>
            <w:proofErr w:type="spellStart"/>
            <w:r w:rsidRPr="007A7422">
              <w:t>Schleiermacher</w:t>
            </w:r>
            <w:proofErr w:type="spellEnd"/>
            <w:r w:rsidRPr="007A7422">
              <w:t xml:space="preserve">: „A hermeneutika fogalmáról F.A. Wolf fejtegetéseivel és </w:t>
            </w:r>
            <w:proofErr w:type="spellStart"/>
            <w:r w:rsidRPr="007A7422">
              <w:t>Ast</w:t>
            </w:r>
            <w:proofErr w:type="spellEnd"/>
            <w:r w:rsidRPr="007A7422">
              <w:t xml:space="preserve"> tankönyvével összefüggésben”; Bacsó B. (szerk.): </w:t>
            </w:r>
            <w:r w:rsidRPr="007A7422">
              <w:rPr>
                <w:i/>
                <w:iCs/>
              </w:rPr>
              <w:t>Filozófiai hermeneutika</w:t>
            </w:r>
            <w:r w:rsidRPr="007A7422">
              <w:t xml:space="preserve">. 29-60. o. </w:t>
            </w:r>
          </w:p>
          <w:p w14:paraId="32239923" w14:textId="77777777" w:rsidR="009078D9" w:rsidRPr="007A7422" w:rsidRDefault="009078D9" w:rsidP="009078D9">
            <w:pPr>
              <w:pStyle w:val="Default"/>
              <w:jc w:val="both"/>
            </w:pPr>
            <w:r w:rsidRPr="007A7422">
              <w:t xml:space="preserve">W. </w:t>
            </w:r>
            <w:proofErr w:type="spellStart"/>
            <w:r w:rsidRPr="007A7422">
              <w:t>Dilthey</w:t>
            </w:r>
            <w:proofErr w:type="spellEnd"/>
            <w:r w:rsidRPr="007A7422">
              <w:t xml:space="preserve">: „Bevezetés a szellemtudományokba”; </w:t>
            </w:r>
            <w:r w:rsidRPr="007A7422">
              <w:rPr>
                <w:i/>
                <w:iCs/>
              </w:rPr>
              <w:t>A történelmi világ felépítése a szellemtudományokban</w:t>
            </w:r>
            <w:r w:rsidRPr="007A7422">
              <w:t xml:space="preserve">. szerk. Erdélyi Á. Budapest 1974; 61-100.o. </w:t>
            </w:r>
          </w:p>
          <w:p w14:paraId="1AB69761" w14:textId="77777777" w:rsidR="009078D9" w:rsidRPr="007A7422" w:rsidRDefault="009078D9" w:rsidP="009771C3">
            <w:pPr>
              <w:pStyle w:val="Default"/>
              <w:tabs>
                <w:tab w:val="left" w:pos="6248"/>
              </w:tabs>
              <w:jc w:val="both"/>
            </w:pPr>
            <w:r>
              <w:t xml:space="preserve">W. </w:t>
            </w:r>
            <w:proofErr w:type="spellStart"/>
            <w:r>
              <w:t>Dilthey</w:t>
            </w:r>
            <w:proofErr w:type="spellEnd"/>
            <w:r>
              <w:t>:</w:t>
            </w:r>
            <w:r w:rsidRPr="007A7422">
              <w:t xml:space="preserve"> „A hermeneutika keletkezése”; uo., 469-493.o. </w:t>
            </w:r>
            <w:r w:rsidR="009771C3">
              <w:tab/>
            </w:r>
          </w:p>
          <w:p w14:paraId="69DA1889" w14:textId="77777777" w:rsidR="009078D9" w:rsidRPr="007A7422" w:rsidRDefault="009078D9" w:rsidP="009078D9">
            <w:pPr>
              <w:pStyle w:val="Default"/>
              <w:jc w:val="both"/>
            </w:pPr>
            <w:r w:rsidRPr="007A7422">
              <w:t xml:space="preserve">M. Heidegger: </w:t>
            </w:r>
            <w:r w:rsidRPr="007A7422">
              <w:rPr>
                <w:i/>
                <w:iCs/>
              </w:rPr>
              <w:t>Lét és idő</w:t>
            </w:r>
            <w:r>
              <w:t>. (több kiadás)</w:t>
            </w:r>
            <w:r w:rsidRPr="007A7422">
              <w:t xml:space="preserve">; 6-7§§, 31-34§§ </w:t>
            </w:r>
          </w:p>
          <w:p w14:paraId="6EEC37BA" w14:textId="77777777" w:rsidR="0055341A" w:rsidRDefault="009078D9" w:rsidP="009078D9">
            <w:pPr>
              <w:rPr>
                <w:spacing w:val="-3"/>
              </w:rPr>
            </w:pPr>
            <w:r w:rsidRPr="007A7422">
              <w:t xml:space="preserve">H.-G. </w:t>
            </w:r>
            <w:proofErr w:type="spellStart"/>
            <w:r w:rsidRPr="007A7422">
              <w:t>Gadamer</w:t>
            </w:r>
            <w:proofErr w:type="spellEnd"/>
            <w:r w:rsidRPr="007A7422">
              <w:t xml:space="preserve">: </w:t>
            </w:r>
            <w:r w:rsidRPr="007A7422">
              <w:rPr>
                <w:i/>
                <w:iCs/>
              </w:rPr>
              <w:t>Igazság és módszer</w:t>
            </w:r>
            <w:r w:rsidRPr="007A7422">
              <w:t>. Budapest 1984; 76-107.o., 191-264.o.</w:t>
            </w:r>
          </w:p>
        </w:tc>
      </w:tr>
    </w:tbl>
    <w:p w14:paraId="0E131C68" w14:textId="77777777" w:rsidR="0055341A" w:rsidRDefault="0055341A" w:rsidP="0055341A"/>
    <w:p w14:paraId="0E358D3D" w14:textId="77777777" w:rsidR="00B67663" w:rsidRDefault="00B67663">
      <w:pPr>
        <w:rPr>
          <w:color w:val="0000FF"/>
        </w:rPr>
      </w:pPr>
    </w:p>
    <w:sectPr w:rsidR="00B676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97A89"/>
    <w:multiLevelType w:val="multilevel"/>
    <w:tmpl w:val="08B0A02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202433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6D9B"/>
    <w:rsid w:val="000128B9"/>
    <w:rsid w:val="00182E44"/>
    <w:rsid w:val="001F17A6"/>
    <w:rsid w:val="00205778"/>
    <w:rsid w:val="00207167"/>
    <w:rsid w:val="00217948"/>
    <w:rsid w:val="00221382"/>
    <w:rsid w:val="00226E48"/>
    <w:rsid w:val="002705C9"/>
    <w:rsid w:val="002C003A"/>
    <w:rsid w:val="00361AD6"/>
    <w:rsid w:val="00397EE7"/>
    <w:rsid w:val="003F2971"/>
    <w:rsid w:val="00444952"/>
    <w:rsid w:val="0045791D"/>
    <w:rsid w:val="004B33AB"/>
    <w:rsid w:val="0055341A"/>
    <w:rsid w:val="005E46CF"/>
    <w:rsid w:val="00622D9A"/>
    <w:rsid w:val="00651C52"/>
    <w:rsid w:val="006E3DA0"/>
    <w:rsid w:val="00737B5D"/>
    <w:rsid w:val="007572F2"/>
    <w:rsid w:val="00787E1C"/>
    <w:rsid w:val="00797C7B"/>
    <w:rsid w:val="007C12C5"/>
    <w:rsid w:val="007C6D9B"/>
    <w:rsid w:val="008253DB"/>
    <w:rsid w:val="009078D9"/>
    <w:rsid w:val="009771C3"/>
    <w:rsid w:val="00A372F7"/>
    <w:rsid w:val="00A64157"/>
    <w:rsid w:val="00B63E0A"/>
    <w:rsid w:val="00B67663"/>
    <w:rsid w:val="00B75E9B"/>
    <w:rsid w:val="00BC532B"/>
    <w:rsid w:val="00D05FF3"/>
    <w:rsid w:val="00D22F9C"/>
    <w:rsid w:val="00D439CA"/>
    <w:rsid w:val="00D8674A"/>
    <w:rsid w:val="00DB42F7"/>
    <w:rsid w:val="00DD77F9"/>
    <w:rsid w:val="00DE2863"/>
    <w:rsid w:val="00E00F7E"/>
    <w:rsid w:val="00E56511"/>
    <w:rsid w:val="00E6609E"/>
    <w:rsid w:val="00E87C60"/>
    <w:rsid w:val="00EC7091"/>
    <w:rsid w:val="00F2521B"/>
    <w:rsid w:val="00FA3D9E"/>
    <w:rsid w:val="00FF6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9E56C6"/>
  <w15:docId w15:val="{A768A92C-08E6-4907-8D28-6FAE3FBB9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pPr>
      <w:autoSpaceDE w:val="0"/>
      <w:autoSpaceDN w:val="0"/>
    </w:pPr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rsid w:val="00207167"/>
    <w:rPr>
      <w:rFonts w:cs="Times New Roman"/>
      <w:color w:val="0000FF"/>
      <w:u w:val="single"/>
    </w:rPr>
  </w:style>
  <w:style w:type="paragraph" w:customStyle="1" w:styleId="Default">
    <w:name w:val="Default"/>
    <w:rsid w:val="009078D9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1551</Characters>
  <Application>Microsoft Office Word</Application>
  <DocSecurity>0</DocSecurity>
  <Lines>12</Lines>
  <Paragraphs>3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Syllabus-Minta:</vt:lpstr>
      <vt:lpstr>Syllabus-Minta:</vt:lpstr>
    </vt:vector>
  </TitlesOfParts>
  <Company>Philolaos Publishing</Company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Syllabus-Minta:</dc:title>
  <dc:subject/>
  <dc:creator>Janos Hardi</dc:creator>
  <cp:keywords/>
  <dc:description/>
  <cp:lastModifiedBy>Dr. Olay Csaba</cp:lastModifiedBy>
  <cp:revision>2</cp:revision>
  <dcterms:created xsi:type="dcterms:W3CDTF">2026-08-28T21:55:00Z</dcterms:created>
  <dcterms:modified xsi:type="dcterms:W3CDTF">2026-08-28T21:55:00Z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864deea9-ea21-4b06-a8cb-3fa6b32e7c04</vt:lpwstr>
  </property>
</Properties>
</file>