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240" w:before="240" w:after="0"/>
        <w:jc w:val="center"/>
        <w:rPr>
          <w:rFonts w:ascii="Arial" w:hAnsi="Arial" w:cs="Arial"/>
          <w:b/>
          <w:color w:val="auto"/>
          <w:sz w:val="36"/>
          <w:szCs w:val="24"/>
        </w:rPr>
      </w:pPr>
      <w:bookmarkStart w:id="0" w:name="_GoBack"/>
      <w:r>
        <w:rPr>
          <w:rFonts w:cs="Arial" w:ascii="Arial" w:hAnsi="Arial"/>
          <w:b/>
          <w:color w:val="auto"/>
          <w:sz w:val="36"/>
          <w:szCs w:val="24"/>
        </w:rPr>
        <w:t>Logic, Voting, and Collective Decision-Making: Historical and Philosophical Perspectives</w:t>
      </w:r>
      <w:bookmarkEnd w:id="0"/>
    </w:p>
    <w:p>
      <w:pPr>
        <w:pStyle w:val="NormalWeb"/>
        <w:spacing w:before="280" w:after="280"/>
        <w:jc w:val="center"/>
        <w:rPr>
          <w:rFonts w:ascii="Arial" w:hAnsi="Arial" w:cs="Arial"/>
          <w:b/>
        </w:rPr>
      </w:pPr>
      <w:r>
        <w:rPr>
          <w:rStyle w:val="Strong"/>
          <w:rFonts w:cs="Arial" w:ascii="Arial" w:hAnsi="Arial"/>
        </w:rPr>
        <w:t>Course Code:</w:t>
      </w:r>
      <w:r>
        <w:rPr>
          <w:rStyle w:val="Strong"/>
          <w:rFonts w:cs="Arial" w:ascii="Arial" w:hAnsi="Arial"/>
          <w:b/>
        </w:rPr>
        <w:t xml:space="preserve"> </w:t>
      </w:r>
      <w:r>
        <w:rPr>
          <w:rStyle w:val="Strong"/>
          <w:rFonts w:cs="Arial" w:ascii="Arial" w:hAnsi="Arial"/>
          <w:b w:val="false"/>
          <w:bCs w:val="false"/>
        </w:rPr>
        <w:t>BMA-LOTD-514.10, BMI-LOTD-514E.10</w:t>
      </w:r>
    </w:p>
    <w:p>
      <w:pPr>
        <w:pStyle w:val="Heading2"/>
        <w:spacing w:before="280" w:after="280"/>
        <w:jc w:val="both"/>
        <w:rPr>
          <w:rFonts w:ascii="Arial" w:hAnsi="Arial" w:cs="Arial"/>
          <w:sz w:val="24"/>
          <w:szCs w:val="24"/>
        </w:rPr>
      </w:pPr>
      <w:r>
        <w:rPr>
          <w:rFonts w:cs="Arial" w:ascii="Arial" w:hAnsi="Arial"/>
          <w:sz w:val="24"/>
          <w:szCs w:val="24"/>
        </w:rPr>
        <w:t>Course Content and Assessment Methods</w:t>
      </w:r>
    </w:p>
    <w:p>
      <w:pPr>
        <w:pStyle w:val="Heading3"/>
        <w:spacing w:before="280" w:after="280"/>
        <w:jc w:val="both"/>
        <w:rPr>
          <w:rFonts w:ascii="Arial" w:hAnsi="Arial" w:cs="Arial"/>
          <w:sz w:val="24"/>
          <w:szCs w:val="24"/>
        </w:rPr>
      </w:pPr>
      <w:r>
        <w:rPr>
          <w:rFonts w:cs="Arial" w:ascii="Arial" w:hAnsi="Arial"/>
          <w:sz w:val="24"/>
          <w:szCs w:val="24"/>
        </w:rPr>
        <w:t>I. Teaching Modality</w:t>
      </w:r>
    </w:p>
    <w:p>
      <w:pPr>
        <w:pStyle w:val="NormalWeb"/>
        <w:numPr>
          <w:ilvl w:val="0"/>
          <w:numId w:val="1"/>
        </w:numPr>
        <w:spacing w:before="280" w:after="0"/>
        <w:jc w:val="both"/>
        <w:rPr>
          <w:rFonts w:ascii="Arial" w:hAnsi="Arial" w:cs="Arial"/>
        </w:rPr>
      </w:pPr>
      <w:r>
        <w:rPr>
          <w:rStyle w:val="Strong"/>
          <w:rFonts w:cs="Arial" w:ascii="Arial" w:hAnsi="Arial"/>
        </w:rPr>
        <w:t>Instructor:</w:t>
      </w:r>
      <w:r>
        <w:rPr>
          <w:rFonts w:cs="Arial" w:ascii="Arial" w:hAnsi="Arial"/>
        </w:rPr>
        <w:t xml:space="preserve"> Mr. Richie Elian</w:t>
      </w:r>
    </w:p>
    <w:p>
      <w:pPr>
        <w:pStyle w:val="NormalWeb"/>
        <w:numPr>
          <w:ilvl w:val="0"/>
          <w:numId w:val="1"/>
        </w:numPr>
        <w:spacing w:before="0" w:after="0"/>
        <w:jc w:val="both"/>
        <w:rPr>
          <w:rFonts w:ascii="Arial" w:hAnsi="Arial" w:cs="Arial"/>
        </w:rPr>
      </w:pPr>
      <w:r>
        <w:rPr>
          <w:rStyle w:val="Strong"/>
          <w:rFonts w:cs="Arial" w:ascii="Arial" w:hAnsi="Arial"/>
        </w:rPr>
        <w:t>Contact:</w:t>
      </w:r>
      <w:r>
        <w:rPr>
          <w:rFonts w:cs="Arial" w:ascii="Arial" w:hAnsi="Arial"/>
        </w:rPr>
        <w:t xml:space="preserve"> </w:t>
      </w:r>
      <w:hyperlink r:id="rId2">
        <w:r>
          <w:rPr>
            <w:rStyle w:val="Hyperlink"/>
            <w:rFonts w:eastAsia="" w:cs="Arial" w:ascii="Arial" w:hAnsi="Arial" w:eastAsiaTheme="majorEastAsia"/>
            <w:color w:val="auto"/>
          </w:rPr>
          <w:t>richieelian@gmail.com</w:t>
        </w:r>
      </w:hyperlink>
    </w:p>
    <w:p>
      <w:pPr>
        <w:pStyle w:val="NormalWeb"/>
        <w:numPr>
          <w:ilvl w:val="0"/>
          <w:numId w:val="1"/>
        </w:numPr>
        <w:spacing w:before="0" w:after="0"/>
        <w:jc w:val="both"/>
        <w:rPr>
          <w:rFonts w:ascii="Arial" w:hAnsi="Arial" w:cs="Arial"/>
        </w:rPr>
      </w:pPr>
      <w:r>
        <w:rPr>
          <w:rStyle w:val="Strong"/>
          <w:rFonts w:cs="Arial" w:ascii="Arial" w:hAnsi="Arial"/>
        </w:rPr>
        <w:t>Location:</w:t>
      </w:r>
      <w:r>
        <w:rPr>
          <w:rFonts w:cs="Arial" w:ascii="Arial" w:hAnsi="Arial"/>
        </w:rPr>
        <w:t xml:space="preserve"> Hybrid format: online (Google Meet), with some sessions potentially held in person</w:t>
      </w:r>
    </w:p>
    <w:p>
      <w:pPr>
        <w:pStyle w:val="NormalWeb"/>
        <w:numPr>
          <w:ilvl w:val="0"/>
          <w:numId w:val="1"/>
        </w:numPr>
        <w:spacing w:before="0" w:after="0"/>
        <w:jc w:val="both"/>
        <w:rPr>
          <w:rFonts w:ascii="Arial" w:hAnsi="Arial" w:cs="Arial"/>
        </w:rPr>
      </w:pPr>
      <w:r>
        <w:rPr>
          <w:rStyle w:val="Strong"/>
          <w:rFonts w:cs="Arial" w:ascii="Arial" w:hAnsi="Arial"/>
        </w:rPr>
        <w:t>Teaching Format:</w:t>
      </w:r>
      <w:r>
        <w:rPr>
          <w:rFonts w:cs="Arial" w:ascii="Arial" w:hAnsi="Arial"/>
        </w:rPr>
        <w:t xml:space="preserve"> Lectures, discussions, researches, presentations</w:t>
      </w:r>
    </w:p>
    <w:p>
      <w:pPr>
        <w:pStyle w:val="NormalWeb"/>
        <w:numPr>
          <w:ilvl w:val="0"/>
          <w:numId w:val="1"/>
        </w:numPr>
        <w:spacing w:before="0" w:after="0"/>
        <w:jc w:val="both"/>
        <w:rPr>
          <w:rFonts w:ascii="Arial" w:hAnsi="Arial" w:cs="Arial"/>
        </w:rPr>
      </w:pPr>
      <w:r>
        <w:rPr>
          <w:rStyle w:val="Strong"/>
          <w:rFonts w:cs="Arial" w:ascii="Arial" w:hAnsi="Arial"/>
        </w:rPr>
        <w:t>Course Materials:</w:t>
      </w:r>
      <w:r>
        <w:rPr>
          <w:rFonts w:cs="Arial" w:ascii="Arial" w:hAnsi="Arial"/>
        </w:rPr>
        <w:t xml:space="preserve"> Materials will be provided progressively throughout the semester. Students are also expected to take notes during class.</w:t>
      </w:r>
    </w:p>
    <w:p>
      <w:pPr>
        <w:pStyle w:val="NormalWeb"/>
        <w:numPr>
          <w:ilvl w:val="0"/>
          <w:numId w:val="1"/>
        </w:numPr>
        <w:spacing w:before="0" w:after="0"/>
        <w:jc w:val="both"/>
        <w:rPr>
          <w:rFonts w:ascii="Arial" w:hAnsi="Arial" w:cs="Arial"/>
        </w:rPr>
      </w:pPr>
      <w:r>
        <w:rPr>
          <w:rStyle w:val="Strong"/>
          <w:rFonts w:cs="Arial" w:ascii="Arial" w:hAnsi="Arial"/>
        </w:rPr>
        <w:t>Assessment:</w:t>
      </w:r>
      <w:r>
        <w:rPr>
          <w:rFonts w:cs="Arial" w:ascii="Arial" w:hAnsi="Arial"/>
        </w:rPr>
        <w:t xml:space="preserve"> Presentation, homework assignments, participation in class discussions, and a final oral examination</w:t>
      </w:r>
    </w:p>
    <w:p>
      <w:pPr>
        <w:pStyle w:val="NormalWeb"/>
        <w:numPr>
          <w:ilvl w:val="0"/>
          <w:numId w:val="1"/>
        </w:numPr>
        <w:spacing w:before="0" w:after="0"/>
        <w:jc w:val="both"/>
        <w:rPr>
          <w:rFonts w:ascii="Arial" w:hAnsi="Arial" w:cs="Arial"/>
        </w:rPr>
      </w:pPr>
      <w:r>
        <w:rPr>
          <w:rStyle w:val="Strong"/>
          <w:rFonts w:cs="Arial" w:ascii="Arial" w:hAnsi="Arial"/>
        </w:rPr>
        <w:t>Prerequisites:</w:t>
      </w:r>
      <w:r>
        <w:rPr>
          <w:rFonts w:cs="Arial" w:ascii="Arial" w:hAnsi="Arial"/>
        </w:rPr>
        <w:t xml:space="preserve"> Basic middle-school-level mathematics, particularly percentages. No advanced mathematical background is required.</w:t>
      </w:r>
    </w:p>
    <w:p>
      <w:pPr>
        <w:pStyle w:val="ListParagraph"/>
        <w:numPr>
          <w:ilvl w:val="0"/>
          <w:numId w:val="1"/>
        </w:numPr>
        <w:spacing w:lineRule="auto" w:line="240" w:before="0" w:afterAutospacing="1"/>
        <w:contextualSpacing/>
        <w:rPr>
          <w:rFonts w:ascii="Arial" w:hAnsi="Arial" w:eastAsia="Times New Roman" w:cs="Arial"/>
          <w:sz w:val="24"/>
          <w:szCs w:val="24"/>
        </w:rPr>
      </w:pPr>
      <w:r>
        <w:rPr>
          <w:rFonts w:eastAsia="Times New Roman" w:cs="Arial" w:ascii="Arial" w:hAnsi="Arial"/>
          <w:b/>
          <w:bCs/>
          <w:sz w:val="24"/>
          <w:szCs w:val="24"/>
        </w:rPr>
        <w:t>Note:</w:t>
      </w:r>
      <w:r>
        <w:rPr>
          <w:rFonts w:eastAsia="Times New Roman" w:cs="Arial" w:ascii="Arial" w:hAnsi="Arial"/>
          <w:sz w:val="24"/>
          <w:szCs w:val="24"/>
        </w:rPr>
        <w:t xml:space="preserve"> The information provided in this document is for guidance purposes and may be subject to change depending on the number of students enrolled in the course or for other organizational or academic or other reasons.</w:t>
      </w:r>
    </w:p>
    <w:p>
      <w:pPr>
        <w:pStyle w:val="Heading2"/>
        <w:spacing w:before="280" w:after="280"/>
        <w:jc w:val="both"/>
        <w:rPr>
          <w:rFonts w:ascii="Arial" w:hAnsi="Arial" w:cs="Arial"/>
          <w:sz w:val="24"/>
          <w:szCs w:val="24"/>
        </w:rPr>
      </w:pPr>
      <w:r>
        <w:rPr>
          <w:rFonts w:cs="Arial" w:ascii="Arial" w:hAnsi="Arial"/>
          <w:sz w:val="24"/>
          <w:szCs w:val="24"/>
        </w:rPr>
        <w:t>II. Course Topics</w:t>
      </w:r>
    </w:p>
    <w:p>
      <w:pPr>
        <w:pStyle w:val="Heading3"/>
        <w:spacing w:before="280" w:after="280"/>
        <w:jc w:val="both"/>
        <w:rPr>
          <w:rFonts w:ascii="Arial" w:hAnsi="Arial" w:cs="Arial"/>
          <w:sz w:val="24"/>
          <w:szCs w:val="24"/>
        </w:rPr>
      </w:pPr>
      <w:r>
        <w:rPr>
          <w:rFonts w:cs="Arial" w:ascii="Arial" w:hAnsi="Arial"/>
          <w:sz w:val="24"/>
          <w:szCs w:val="24"/>
        </w:rPr>
        <w:t>Topic 1: Course Introduction and Historical Perspectives</w:t>
      </w:r>
    </w:p>
    <w:p>
      <w:pPr>
        <w:pStyle w:val="NormalWeb"/>
        <w:numPr>
          <w:ilvl w:val="0"/>
          <w:numId w:val="2"/>
        </w:numPr>
        <w:spacing w:before="280" w:after="0"/>
        <w:jc w:val="both"/>
        <w:rPr>
          <w:rFonts w:ascii="Arial" w:hAnsi="Arial" w:cs="Arial"/>
        </w:rPr>
      </w:pPr>
      <w:r>
        <w:rPr>
          <w:rFonts w:cs="Arial" w:ascii="Arial" w:hAnsi="Arial"/>
        </w:rPr>
        <w:t>Introduction to the course, its objectives, content, and organization</w:t>
      </w:r>
    </w:p>
    <w:p>
      <w:pPr>
        <w:pStyle w:val="NormalWeb"/>
        <w:numPr>
          <w:ilvl w:val="0"/>
          <w:numId w:val="2"/>
        </w:numPr>
        <w:spacing w:before="0" w:after="0"/>
        <w:jc w:val="both"/>
        <w:rPr>
          <w:rFonts w:ascii="Arial" w:hAnsi="Arial" w:cs="Arial"/>
        </w:rPr>
      </w:pPr>
      <w:r>
        <w:rPr>
          <w:rFonts w:cs="Arial" w:ascii="Arial" w:hAnsi="Arial"/>
        </w:rPr>
        <w:t>How the course will be structured throughout the semester</w:t>
      </w:r>
    </w:p>
    <w:p>
      <w:pPr>
        <w:pStyle w:val="NormalWeb"/>
        <w:numPr>
          <w:ilvl w:val="0"/>
          <w:numId w:val="2"/>
        </w:numPr>
        <w:spacing w:before="0" w:after="0"/>
        <w:jc w:val="both"/>
        <w:rPr>
          <w:rFonts w:ascii="Arial" w:hAnsi="Arial" w:cs="Arial"/>
        </w:rPr>
      </w:pPr>
      <w:r>
        <w:rPr>
          <w:rFonts w:cs="Arial" w:ascii="Arial" w:hAnsi="Arial"/>
        </w:rPr>
        <w:t>Introduction to different types of political regimes</w:t>
      </w:r>
    </w:p>
    <w:p>
      <w:pPr>
        <w:pStyle w:val="NormalWeb"/>
        <w:numPr>
          <w:ilvl w:val="0"/>
          <w:numId w:val="2"/>
        </w:numPr>
        <w:spacing w:before="0" w:after="0"/>
        <w:jc w:val="both"/>
        <w:rPr>
          <w:rFonts w:ascii="Arial" w:hAnsi="Arial" w:cs="Arial"/>
        </w:rPr>
      </w:pPr>
      <w:r>
        <w:rPr>
          <w:rFonts w:cs="Arial" w:ascii="Arial" w:hAnsi="Arial"/>
        </w:rPr>
        <w:t>Historical emergence and development of democracy</w:t>
      </w:r>
    </w:p>
    <w:p>
      <w:pPr>
        <w:pStyle w:val="NormalWeb"/>
        <w:numPr>
          <w:ilvl w:val="0"/>
          <w:numId w:val="2"/>
        </w:numPr>
        <w:spacing w:before="0" w:after="280"/>
        <w:jc w:val="both"/>
        <w:rPr>
          <w:rFonts w:ascii="Arial" w:hAnsi="Arial" w:cs="Arial"/>
        </w:rPr>
      </w:pPr>
      <w:r>
        <w:rPr>
          <w:rFonts w:cs="Arial" w:ascii="Arial" w:hAnsi="Arial"/>
        </w:rPr>
        <w:t>Early forms of collective decision-making</w:t>
      </w:r>
    </w:p>
    <w:p>
      <w:pPr>
        <w:pStyle w:val="Heading3"/>
        <w:spacing w:before="280" w:after="280"/>
        <w:jc w:val="both"/>
        <w:rPr>
          <w:rFonts w:ascii="Arial" w:hAnsi="Arial" w:cs="Arial"/>
          <w:sz w:val="24"/>
          <w:szCs w:val="24"/>
        </w:rPr>
      </w:pPr>
      <w:r>
        <w:rPr>
          <w:rFonts w:cs="Arial" w:ascii="Arial" w:hAnsi="Arial"/>
          <w:sz w:val="24"/>
          <w:szCs w:val="24"/>
        </w:rPr>
        <w:t>Topic 2: The Structure and Principles of Democracy</w:t>
      </w:r>
    </w:p>
    <w:p>
      <w:pPr>
        <w:pStyle w:val="NormalWeb"/>
        <w:numPr>
          <w:ilvl w:val="0"/>
          <w:numId w:val="3"/>
        </w:numPr>
        <w:spacing w:before="280" w:after="0"/>
        <w:jc w:val="both"/>
        <w:rPr>
          <w:rFonts w:ascii="Arial" w:hAnsi="Arial" w:cs="Arial"/>
        </w:rPr>
      </w:pPr>
      <w:r>
        <w:rPr>
          <w:rFonts w:cs="Arial" w:ascii="Arial" w:hAnsi="Arial"/>
        </w:rPr>
        <w:t>Fundamental principles and structures of democratic systems</w:t>
      </w:r>
    </w:p>
    <w:p>
      <w:pPr>
        <w:pStyle w:val="NormalWeb"/>
        <w:numPr>
          <w:ilvl w:val="0"/>
          <w:numId w:val="3"/>
        </w:numPr>
        <w:spacing w:before="0" w:after="0"/>
        <w:jc w:val="both"/>
        <w:rPr>
          <w:rFonts w:ascii="Arial" w:hAnsi="Arial" w:cs="Arial"/>
        </w:rPr>
      </w:pPr>
      <w:r>
        <w:rPr>
          <w:rFonts w:cs="Arial" w:ascii="Arial" w:hAnsi="Arial"/>
        </w:rPr>
        <w:t>The concept and role of voting in democratic societies</w:t>
      </w:r>
    </w:p>
    <w:p>
      <w:pPr>
        <w:pStyle w:val="NormalWeb"/>
        <w:numPr>
          <w:ilvl w:val="0"/>
          <w:numId w:val="3"/>
        </w:numPr>
        <w:spacing w:before="0" w:after="0"/>
        <w:jc w:val="both"/>
        <w:rPr>
          <w:rFonts w:ascii="Arial" w:hAnsi="Arial" w:cs="Arial"/>
        </w:rPr>
      </w:pPr>
      <w:r>
        <w:rPr>
          <w:rFonts w:cs="Arial" w:ascii="Arial" w:hAnsi="Arial"/>
        </w:rPr>
        <w:t>Individual preferences and collective decisions</w:t>
      </w:r>
    </w:p>
    <w:p>
      <w:pPr>
        <w:pStyle w:val="NormalWeb"/>
        <w:numPr>
          <w:ilvl w:val="0"/>
          <w:numId w:val="3"/>
        </w:numPr>
        <w:spacing w:before="0" w:after="0"/>
        <w:jc w:val="both"/>
        <w:rPr>
          <w:rFonts w:ascii="Arial" w:hAnsi="Arial" w:cs="Arial"/>
        </w:rPr>
      </w:pPr>
      <w:r>
        <w:rPr>
          <w:rFonts w:cs="Arial" w:ascii="Arial" w:hAnsi="Arial"/>
        </w:rPr>
        <w:t>The relationship between voting, representation, and democracy</w:t>
      </w:r>
    </w:p>
    <w:p>
      <w:pPr>
        <w:pStyle w:val="NormalWeb"/>
        <w:numPr>
          <w:ilvl w:val="0"/>
          <w:numId w:val="3"/>
        </w:numPr>
        <w:spacing w:before="0" w:after="0"/>
        <w:jc w:val="both"/>
        <w:rPr>
          <w:rFonts w:ascii="Arial" w:hAnsi="Arial" w:cs="Arial"/>
        </w:rPr>
      </w:pPr>
      <w:r>
        <w:rPr>
          <w:rFonts w:cs="Arial" w:ascii="Arial" w:hAnsi="Arial"/>
        </w:rPr>
        <w:t>Limits and challenges of democracy and voting systems</w:t>
      </w:r>
    </w:p>
    <w:p>
      <w:pPr>
        <w:pStyle w:val="NormalWeb"/>
        <w:numPr>
          <w:ilvl w:val="0"/>
          <w:numId w:val="3"/>
        </w:numPr>
        <w:spacing w:before="0" w:after="280"/>
        <w:jc w:val="both"/>
        <w:rPr>
          <w:rFonts w:ascii="Arial" w:hAnsi="Arial" w:cs="Arial"/>
        </w:rPr>
      </w:pPr>
      <w:r>
        <w:rPr>
          <w:rFonts w:cs="Arial" w:ascii="Arial" w:hAnsi="Arial"/>
        </w:rPr>
        <w:t>Historical and contemporary examples</w:t>
      </w:r>
    </w:p>
    <w:p>
      <w:pPr>
        <w:pStyle w:val="Heading3"/>
        <w:spacing w:before="280" w:after="280"/>
        <w:jc w:val="both"/>
        <w:rPr>
          <w:rFonts w:ascii="Arial" w:hAnsi="Arial" w:cs="Arial"/>
          <w:sz w:val="24"/>
          <w:szCs w:val="24"/>
        </w:rPr>
      </w:pPr>
      <w:r>
        <w:rPr>
          <w:rFonts w:cs="Arial" w:ascii="Arial" w:hAnsi="Arial"/>
          <w:sz w:val="24"/>
          <w:szCs w:val="24"/>
        </w:rPr>
        <w:t>Topic 3: Voting Methods and Their Limitations</w:t>
      </w:r>
    </w:p>
    <w:p>
      <w:pPr>
        <w:pStyle w:val="NormalWeb"/>
        <w:numPr>
          <w:ilvl w:val="0"/>
          <w:numId w:val="4"/>
        </w:numPr>
        <w:spacing w:before="280" w:after="0"/>
        <w:jc w:val="both"/>
        <w:rPr>
          <w:rFonts w:ascii="Arial" w:hAnsi="Arial" w:cs="Arial"/>
        </w:rPr>
      </w:pPr>
      <w:r>
        <w:rPr>
          <w:rFonts w:cs="Arial" w:ascii="Arial" w:hAnsi="Arial"/>
        </w:rPr>
        <w:t>Introduction to different voting methods</w:t>
      </w:r>
    </w:p>
    <w:p>
      <w:pPr>
        <w:pStyle w:val="NormalWeb"/>
        <w:numPr>
          <w:ilvl w:val="0"/>
          <w:numId w:val="4"/>
        </w:numPr>
        <w:spacing w:before="0" w:after="0"/>
        <w:jc w:val="both"/>
        <w:rPr>
          <w:rFonts w:ascii="Arial" w:hAnsi="Arial" w:cs="Arial"/>
        </w:rPr>
      </w:pPr>
      <w:r>
        <w:rPr>
          <w:rFonts w:cs="Arial" w:ascii="Arial" w:hAnsi="Arial"/>
        </w:rPr>
        <w:t>Majority voting and alternative voting procedures</w:t>
      </w:r>
    </w:p>
    <w:p>
      <w:pPr>
        <w:pStyle w:val="NormalWeb"/>
        <w:numPr>
          <w:ilvl w:val="0"/>
          <w:numId w:val="4"/>
        </w:numPr>
        <w:spacing w:before="0" w:after="0"/>
        <w:jc w:val="both"/>
        <w:rPr>
          <w:rFonts w:ascii="Arial" w:hAnsi="Arial" w:cs="Arial"/>
        </w:rPr>
      </w:pPr>
      <w:r>
        <w:rPr>
          <w:rFonts w:cs="Arial" w:ascii="Arial" w:hAnsi="Arial"/>
        </w:rPr>
        <w:t>The Condorcet method and the Condorcet paradox</w:t>
      </w:r>
    </w:p>
    <w:p>
      <w:pPr>
        <w:pStyle w:val="NormalWeb"/>
        <w:numPr>
          <w:ilvl w:val="0"/>
          <w:numId w:val="4"/>
        </w:numPr>
        <w:spacing w:before="0" w:after="0"/>
        <w:jc w:val="both"/>
        <w:rPr>
          <w:rFonts w:ascii="Arial" w:hAnsi="Arial" w:cs="Arial"/>
        </w:rPr>
      </w:pPr>
      <w:r>
        <w:rPr>
          <w:rFonts w:cs="Arial" w:ascii="Arial" w:hAnsi="Arial"/>
        </w:rPr>
        <w:t>The notion of fairness in voting and collective decision-making</w:t>
      </w:r>
    </w:p>
    <w:p>
      <w:pPr>
        <w:pStyle w:val="NormalWeb"/>
        <w:numPr>
          <w:ilvl w:val="0"/>
          <w:numId w:val="4"/>
        </w:numPr>
        <w:spacing w:before="0" w:after="0"/>
        <w:jc w:val="both"/>
        <w:rPr>
          <w:rFonts w:ascii="Arial" w:hAnsi="Arial" w:cs="Arial"/>
        </w:rPr>
      </w:pPr>
      <w:r>
        <w:rPr>
          <w:rFonts w:cs="Arial" w:ascii="Arial" w:hAnsi="Arial"/>
        </w:rPr>
        <w:t>Individual rationality and collective rationality</w:t>
      </w:r>
    </w:p>
    <w:p>
      <w:pPr>
        <w:pStyle w:val="NormalWeb"/>
        <w:numPr>
          <w:ilvl w:val="0"/>
          <w:numId w:val="4"/>
        </w:numPr>
        <w:spacing w:before="0" w:after="0"/>
        <w:jc w:val="both"/>
        <w:rPr>
          <w:rFonts w:ascii="Arial" w:hAnsi="Arial" w:cs="Arial"/>
        </w:rPr>
      </w:pPr>
      <w:r>
        <w:rPr>
          <w:rFonts w:cs="Arial" w:ascii="Arial" w:hAnsi="Arial"/>
        </w:rPr>
        <w:t>Introduction to Arrow's Impossibility Theorem</w:t>
      </w:r>
    </w:p>
    <w:p>
      <w:pPr>
        <w:pStyle w:val="NormalWeb"/>
        <w:numPr>
          <w:ilvl w:val="0"/>
          <w:numId w:val="4"/>
        </w:numPr>
        <w:spacing w:before="0" w:after="280"/>
        <w:jc w:val="both"/>
        <w:rPr>
          <w:rFonts w:ascii="Arial" w:hAnsi="Arial" w:cs="Arial"/>
        </w:rPr>
      </w:pPr>
      <w:r>
        <w:rPr>
          <w:rFonts w:cs="Arial" w:ascii="Arial" w:hAnsi="Arial"/>
        </w:rPr>
        <w:t>Advantages and limitations of different voting systems</w:t>
      </w:r>
    </w:p>
    <w:p>
      <w:pPr>
        <w:pStyle w:val="Heading3"/>
        <w:spacing w:before="280" w:after="280"/>
        <w:jc w:val="both"/>
        <w:rPr>
          <w:rFonts w:ascii="Arial" w:hAnsi="Arial" w:cs="Arial"/>
          <w:sz w:val="24"/>
          <w:szCs w:val="24"/>
        </w:rPr>
      </w:pPr>
      <w:r>
        <w:rPr>
          <w:rFonts w:cs="Arial" w:ascii="Arial" w:hAnsi="Arial"/>
          <w:sz w:val="24"/>
          <w:szCs w:val="24"/>
        </w:rPr>
        <w:t>Topic 4: Contemporary Examples and Specific Electoral Systems</w:t>
      </w:r>
    </w:p>
    <w:p>
      <w:pPr>
        <w:pStyle w:val="NormalWeb"/>
        <w:numPr>
          <w:ilvl w:val="0"/>
          <w:numId w:val="5"/>
        </w:numPr>
        <w:spacing w:before="280" w:after="0"/>
        <w:jc w:val="both"/>
        <w:rPr>
          <w:rFonts w:ascii="Arial" w:hAnsi="Arial" w:cs="Arial"/>
        </w:rPr>
      </w:pPr>
      <w:r>
        <w:rPr>
          <w:rFonts w:cs="Arial" w:ascii="Arial" w:hAnsi="Arial"/>
        </w:rPr>
        <w:t>Analysis and comparison of contemporary electoral systems</w:t>
      </w:r>
    </w:p>
    <w:p>
      <w:pPr>
        <w:pStyle w:val="NormalWeb"/>
        <w:numPr>
          <w:ilvl w:val="0"/>
          <w:numId w:val="5"/>
        </w:numPr>
        <w:spacing w:before="0" w:after="0"/>
        <w:jc w:val="both"/>
        <w:rPr>
          <w:rFonts w:ascii="Arial" w:hAnsi="Arial" w:cs="Arial"/>
        </w:rPr>
      </w:pPr>
      <w:r>
        <w:rPr>
          <w:rFonts w:cs="Arial" w:ascii="Arial" w:hAnsi="Arial"/>
        </w:rPr>
        <w:t>Presidential and parliamentary elections</w:t>
      </w:r>
    </w:p>
    <w:p>
      <w:pPr>
        <w:pStyle w:val="NormalWeb"/>
        <w:numPr>
          <w:ilvl w:val="0"/>
          <w:numId w:val="5"/>
        </w:numPr>
        <w:spacing w:before="0" w:after="0"/>
        <w:jc w:val="both"/>
        <w:rPr>
          <w:rFonts w:ascii="Arial" w:hAnsi="Arial" w:cs="Arial"/>
        </w:rPr>
      </w:pPr>
      <w:r>
        <w:rPr>
          <w:rFonts w:cs="Arial" w:ascii="Arial" w:hAnsi="Arial"/>
        </w:rPr>
        <w:t>Case studies from different countries, including France, Lebanon, and Bosnia and Herzegovina</w:t>
      </w:r>
    </w:p>
    <w:p>
      <w:pPr>
        <w:pStyle w:val="NormalWeb"/>
        <w:numPr>
          <w:ilvl w:val="0"/>
          <w:numId w:val="5"/>
        </w:numPr>
        <w:spacing w:before="0" w:after="0"/>
        <w:jc w:val="both"/>
        <w:rPr>
          <w:rFonts w:ascii="Arial" w:hAnsi="Arial" w:cs="Arial"/>
        </w:rPr>
      </w:pPr>
      <w:r>
        <w:rPr>
          <w:rFonts w:cs="Arial" w:ascii="Arial" w:hAnsi="Arial"/>
        </w:rPr>
        <w:t>Proportional representation and other methods of allocating seats</w:t>
      </w:r>
    </w:p>
    <w:p>
      <w:pPr>
        <w:pStyle w:val="NormalWeb"/>
        <w:numPr>
          <w:ilvl w:val="0"/>
          <w:numId w:val="5"/>
        </w:numPr>
        <w:spacing w:before="0" w:after="0"/>
        <w:jc w:val="both"/>
        <w:rPr>
          <w:rFonts w:ascii="Arial" w:hAnsi="Arial" w:cs="Arial"/>
        </w:rPr>
      </w:pPr>
      <w:r>
        <w:rPr>
          <w:rFonts w:cs="Arial" w:ascii="Arial" w:hAnsi="Arial"/>
        </w:rPr>
        <w:t>The influence of institutional, political, historical, and social constraints on electoral systems</w:t>
      </w:r>
    </w:p>
    <w:p>
      <w:pPr>
        <w:pStyle w:val="NormalWeb"/>
        <w:numPr>
          <w:ilvl w:val="0"/>
          <w:numId w:val="5"/>
        </w:numPr>
        <w:spacing w:before="0" w:after="280"/>
        <w:jc w:val="both"/>
        <w:rPr>
          <w:rFonts w:ascii="Arial" w:hAnsi="Arial" w:cs="Arial"/>
        </w:rPr>
      </w:pPr>
      <w:r>
        <w:rPr>
          <w:rFonts w:cs="Arial" w:ascii="Arial" w:hAnsi="Arial"/>
        </w:rPr>
        <w:t>Comparison of electoral rules and their consequences for representation and collective decision-making</w:t>
      </w:r>
    </w:p>
    <w:p>
      <w:pPr>
        <w:pStyle w:val="Heading3"/>
        <w:spacing w:before="280" w:after="280"/>
        <w:jc w:val="both"/>
        <w:rPr>
          <w:rFonts w:ascii="Arial" w:hAnsi="Arial" w:cs="Arial"/>
          <w:sz w:val="24"/>
          <w:szCs w:val="24"/>
        </w:rPr>
      </w:pPr>
      <w:r>
        <w:rPr>
          <w:rFonts w:cs="Arial" w:ascii="Arial" w:hAnsi="Arial"/>
          <w:sz w:val="24"/>
          <w:szCs w:val="24"/>
        </w:rPr>
        <w:t>Topic 5: Philosophical Perspectives, Course Review, and Civic Education</w:t>
      </w:r>
    </w:p>
    <w:p>
      <w:pPr>
        <w:pStyle w:val="NormalWeb"/>
        <w:numPr>
          <w:ilvl w:val="0"/>
          <w:numId w:val="6"/>
        </w:numPr>
        <w:spacing w:before="280" w:after="0"/>
        <w:jc w:val="both"/>
        <w:rPr>
          <w:rFonts w:ascii="Arial" w:hAnsi="Arial" w:cs="Arial"/>
        </w:rPr>
      </w:pPr>
      <w:r>
        <w:rPr>
          <w:rFonts w:cs="Arial" w:ascii="Arial" w:hAnsi="Arial"/>
        </w:rPr>
        <w:t>Review and synthesis of the main concepts studied throughout the course</w:t>
      </w:r>
    </w:p>
    <w:p>
      <w:pPr>
        <w:pStyle w:val="NormalWeb"/>
        <w:numPr>
          <w:ilvl w:val="0"/>
          <w:numId w:val="6"/>
        </w:numPr>
        <w:spacing w:before="0" w:after="0"/>
        <w:jc w:val="both"/>
        <w:rPr>
          <w:rFonts w:ascii="Arial" w:hAnsi="Arial" w:cs="Arial"/>
        </w:rPr>
      </w:pPr>
      <w:r>
        <w:rPr>
          <w:rFonts w:cs="Arial" w:ascii="Arial" w:hAnsi="Arial"/>
        </w:rPr>
        <w:t>Philosophical approaches to voting, democracy, and collective decision-making</w:t>
      </w:r>
    </w:p>
    <w:p>
      <w:pPr>
        <w:pStyle w:val="NormalWeb"/>
        <w:numPr>
          <w:ilvl w:val="0"/>
          <w:numId w:val="6"/>
        </w:numPr>
        <w:spacing w:before="0" w:after="0"/>
        <w:jc w:val="both"/>
        <w:rPr>
          <w:rFonts w:ascii="Arial" w:hAnsi="Arial" w:cs="Arial"/>
        </w:rPr>
      </w:pPr>
      <w:r>
        <w:rPr>
          <w:rFonts w:cs="Arial" w:ascii="Arial" w:hAnsi="Arial"/>
        </w:rPr>
        <w:t>What does it mean for a collective decision to be fair?</w:t>
      </w:r>
    </w:p>
    <w:p>
      <w:pPr>
        <w:pStyle w:val="NormalWeb"/>
        <w:numPr>
          <w:ilvl w:val="0"/>
          <w:numId w:val="6"/>
        </w:numPr>
        <w:spacing w:before="0" w:after="0"/>
        <w:jc w:val="both"/>
        <w:rPr>
          <w:rFonts w:ascii="Arial" w:hAnsi="Arial" w:cs="Arial"/>
        </w:rPr>
      </w:pPr>
      <w:r>
        <w:rPr>
          <w:rFonts w:cs="Arial" w:ascii="Arial" w:hAnsi="Arial"/>
        </w:rPr>
        <w:t>The relationship between individual preferences and the collective will</w:t>
      </w:r>
    </w:p>
    <w:p>
      <w:pPr>
        <w:pStyle w:val="NormalWeb"/>
        <w:numPr>
          <w:ilvl w:val="0"/>
          <w:numId w:val="6"/>
        </w:numPr>
        <w:spacing w:before="0" w:after="0"/>
        <w:jc w:val="both"/>
        <w:rPr>
          <w:rFonts w:ascii="Arial" w:hAnsi="Arial" w:cs="Arial"/>
        </w:rPr>
      </w:pPr>
      <w:r>
        <w:rPr>
          <w:rFonts w:cs="Arial" w:ascii="Arial" w:hAnsi="Arial"/>
        </w:rPr>
        <w:t>The limits of democratic decision-making</w:t>
      </w:r>
    </w:p>
    <w:p>
      <w:pPr>
        <w:pStyle w:val="NormalWeb"/>
        <w:numPr>
          <w:ilvl w:val="0"/>
          <w:numId w:val="6"/>
        </w:numPr>
        <w:spacing w:before="0" w:after="0"/>
        <w:jc w:val="both"/>
        <w:rPr>
          <w:rFonts w:ascii="Arial" w:hAnsi="Arial" w:cs="Arial"/>
        </w:rPr>
      </w:pPr>
      <w:r>
        <w:rPr>
          <w:rFonts w:cs="Arial" w:ascii="Arial" w:hAnsi="Arial"/>
        </w:rPr>
        <w:t>Voting, citizenship, and civic responsibility</w:t>
      </w:r>
    </w:p>
    <w:p>
      <w:pPr>
        <w:pStyle w:val="NormalWeb"/>
        <w:numPr>
          <w:ilvl w:val="0"/>
          <w:numId w:val="6"/>
        </w:numPr>
        <w:spacing w:before="0" w:after="0"/>
        <w:jc w:val="both"/>
        <w:rPr>
          <w:rFonts w:ascii="Arial" w:hAnsi="Arial" w:cs="Arial"/>
        </w:rPr>
      </w:pPr>
      <w:r>
        <w:rPr>
          <w:rFonts w:cs="Arial" w:ascii="Arial" w:hAnsi="Arial"/>
        </w:rPr>
        <w:t>Perspectives on civic and democratic education</w:t>
      </w:r>
    </w:p>
    <w:p>
      <w:pPr>
        <w:pStyle w:val="NormalWeb"/>
        <w:numPr>
          <w:ilvl w:val="0"/>
          <w:numId w:val="6"/>
        </w:numPr>
        <w:spacing w:before="0" w:after="280"/>
        <w:jc w:val="both"/>
        <w:rPr>
          <w:rFonts w:ascii="Arial" w:hAnsi="Arial" w:cs="Arial"/>
        </w:rPr>
      </w:pPr>
      <w:r>
        <w:rPr>
          <w:rFonts w:cs="Arial" w:ascii="Arial" w:hAnsi="Arial"/>
        </w:rPr>
        <w:t>Final discussion: Is there an ideal voting system?</w:t>
      </w:r>
    </w:p>
    <w:p>
      <w:pPr>
        <w:pStyle w:val="Heading2"/>
        <w:spacing w:before="280" w:after="280"/>
        <w:jc w:val="both"/>
        <w:rPr>
          <w:rFonts w:ascii="Arial" w:hAnsi="Arial" w:cs="Arial"/>
          <w:sz w:val="24"/>
          <w:szCs w:val="24"/>
        </w:rPr>
      </w:pPr>
      <w:r>
        <w:rPr>
          <w:rFonts w:cs="Arial" w:ascii="Arial" w:hAnsi="Arial"/>
          <w:sz w:val="24"/>
          <w:szCs w:val="24"/>
        </w:rPr>
        <w:t>III. Evaluation and Grading</w:t>
      </w:r>
    </w:p>
    <w:p>
      <w:pPr>
        <w:pStyle w:val="Heading3"/>
        <w:spacing w:before="280" w:after="280"/>
        <w:jc w:val="both"/>
        <w:rPr>
          <w:rFonts w:ascii="Arial" w:hAnsi="Arial" w:cs="Arial"/>
          <w:sz w:val="24"/>
          <w:szCs w:val="24"/>
        </w:rPr>
      </w:pPr>
      <w:r>
        <w:rPr>
          <w:rFonts w:cs="Arial" w:ascii="Arial" w:hAnsi="Arial"/>
          <w:sz w:val="24"/>
          <w:szCs w:val="24"/>
        </w:rPr>
        <w:t>1. Assessment Components</w:t>
      </w:r>
    </w:p>
    <w:p>
      <w:pPr>
        <w:pStyle w:val="NormalWeb"/>
        <w:spacing w:before="280" w:after="280"/>
        <w:rPr>
          <w:rFonts w:ascii="Arial" w:hAnsi="Arial" w:cs="Arial"/>
        </w:rPr>
      </w:pPr>
      <w:r>
        <w:rPr>
          <w:rFonts w:cs="Arial" w:ascii="Arial" w:hAnsi="Arial"/>
        </w:rPr>
        <w:t>The course will include the following assessment components:</w:t>
      </w:r>
    </w:p>
    <w:p>
      <w:pPr>
        <w:pStyle w:val="NormalWeb"/>
        <w:spacing w:before="280" w:after="280"/>
        <w:rPr>
          <w:rFonts w:ascii="Arial" w:hAnsi="Arial" w:cs="Arial"/>
        </w:rPr>
      </w:pPr>
      <w:r>
        <w:rPr>
          <w:rStyle w:val="Strong"/>
          <w:rFonts w:cs="Arial" w:ascii="Arial" w:hAnsi="Arial"/>
        </w:rPr>
        <w:t>First Assessment – Presentation (P):</w:t>
      </w:r>
      <w:r>
        <w:rPr>
          <w:rFonts w:cs="Arial" w:ascii="Arial" w:hAnsi="Arial"/>
        </w:rPr>
        <w:br/>
        <w:t>Each student, or group of two students depending on the number of students registered for the course, will be required to give an oral presentation on part of one of the topics covered in the course. The presentation should be supported by a PowerPoint presentation or another appropriate visual aid.</w:t>
      </w:r>
    </w:p>
    <w:p>
      <w:pPr>
        <w:pStyle w:val="NormalWeb"/>
        <w:spacing w:before="280" w:after="280"/>
        <w:rPr>
          <w:rFonts w:ascii="Arial" w:hAnsi="Arial" w:cs="Arial"/>
        </w:rPr>
      </w:pPr>
      <w:r>
        <w:rPr>
          <w:rStyle w:val="Strong"/>
          <w:rFonts w:cs="Arial" w:ascii="Arial" w:hAnsi="Arial"/>
        </w:rPr>
        <w:t>Engagement and Participation (E):</w:t>
      </w:r>
      <w:r>
        <w:rPr>
          <w:rFonts w:cs="Arial" w:ascii="Arial" w:hAnsi="Arial"/>
        </w:rPr>
        <w:br/>
        <w:t>Students will be assessed on their oral participation and active engagement during class sessions, presentations, and the discussions following presentations.</w:t>
      </w:r>
    </w:p>
    <w:p>
      <w:pPr>
        <w:pStyle w:val="NormalWeb"/>
        <w:spacing w:before="280" w:after="280"/>
        <w:rPr>
          <w:rFonts w:ascii="Arial" w:hAnsi="Arial" w:cs="Arial"/>
        </w:rPr>
      </w:pPr>
      <w:r>
        <w:rPr>
          <w:rStyle w:val="Strong"/>
          <w:rFonts w:cs="Arial" w:ascii="Arial" w:hAnsi="Arial"/>
        </w:rPr>
        <w:t>Second Assessment – Assignment (A):</w:t>
      </w:r>
      <w:r>
        <w:rPr>
          <w:rFonts w:cs="Arial" w:ascii="Arial" w:hAnsi="Arial"/>
        </w:rPr>
        <w:br/>
        <w:t xml:space="preserve">Each student will be required to submit a short-written assignment of no more than </w:t>
      </w:r>
      <w:r>
        <w:rPr>
          <w:rStyle w:val="Strong"/>
          <w:rFonts w:cs="Arial" w:ascii="Arial" w:hAnsi="Arial"/>
        </w:rPr>
        <w:t>250 words</w:t>
      </w:r>
      <w:r>
        <w:rPr>
          <w:rFonts w:cs="Arial" w:ascii="Arial" w:hAnsi="Arial"/>
        </w:rPr>
        <w:t xml:space="preserve">, including at least </w:t>
      </w:r>
      <w:r>
        <w:rPr>
          <w:rStyle w:val="Strong"/>
          <w:rFonts w:cs="Arial" w:ascii="Arial" w:hAnsi="Arial"/>
        </w:rPr>
        <w:t>two reliable references</w:t>
      </w:r>
      <w:r>
        <w:rPr>
          <w:rFonts w:cs="Arial" w:ascii="Arial" w:hAnsi="Arial"/>
        </w:rPr>
        <w:t xml:space="preserve">. The student will be asked to comment on one of the presentations and answer a few questions provided or approved by the instructor. The assignment must be submitted no later than </w:t>
      </w:r>
      <w:r>
        <w:rPr>
          <w:rStyle w:val="Strong"/>
          <w:rFonts w:cs="Arial" w:ascii="Arial" w:hAnsi="Arial"/>
        </w:rPr>
        <w:t>five calendar days after the day of the corresponding presentation</w:t>
      </w:r>
      <w:r>
        <w:rPr>
          <w:rFonts w:cs="Arial" w:ascii="Arial" w:hAnsi="Arial"/>
        </w:rPr>
        <w:t>.</w:t>
      </w:r>
    </w:p>
    <w:p>
      <w:pPr>
        <w:pStyle w:val="NormalWeb"/>
        <w:spacing w:before="280" w:after="280"/>
        <w:rPr>
          <w:rFonts w:ascii="Arial" w:hAnsi="Arial" w:cs="Arial"/>
        </w:rPr>
      </w:pPr>
      <w:r>
        <w:rPr>
          <w:rStyle w:val="Strong"/>
          <w:rFonts w:cs="Arial" w:ascii="Arial" w:hAnsi="Arial"/>
        </w:rPr>
        <w:t>Final Examination (F):</w:t>
      </w:r>
      <w:r>
        <w:rPr>
          <w:rFonts w:cs="Arial" w:ascii="Arial" w:hAnsi="Arial"/>
        </w:rPr>
        <w:br/>
        <w:t xml:space="preserve">The final examination will be an </w:t>
      </w:r>
      <w:r>
        <w:rPr>
          <w:rStyle w:val="Strong"/>
          <w:rFonts w:cs="Arial" w:ascii="Arial" w:hAnsi="Arial"/>
        </w:rPr>
        <w:t>oral examination</w:t>
      </w:r>
      <w:r>
        <w:rPr>
          <w:rFonts w:cs="Arial" w:ascii="Arial" w:hAnsi="Arial"/>
        </w:rPr>
        <w:t xml:space="preserve"> consisting of questions and answers concerning the material covered throughout the semester.</w:t>
      </w:r>
    </w:p>
    <w:p>
      <w:pPr>
        <w:pStyle w:val="NormalWeb"/>
        <w:spacing w:before="280" w:after="280"/>
        <w:jc w:val="both"/>
        <w:rPr>
          <w:rFonts w:ascii="Arial" w:hAnsi="Arial" w:cs="Arial"/>
        </w:rPr>
      </w:pPr>
      <w:r>
        <w:rPr>
          <w:rFonts w:cs="Arial" w:ascii="Arial" w:hAnsi="Arial"/>
        </w:rPr>
        <w:t>The assessment criteria and expectations for each component will be communicated to students during the semester when appropriate.</w:t>
      </w:r>
    </w:p>
    <w:p>
      <w:pPr>
        <w:pStyle w:val="Heading3"/>
        <w:spacing w:before="280" w:after="280"/>
        <w:jc w:val="both"/>
        <w:rPr>
          <w:rFonts w:ascii="Arial" w:hAnsi="Arial" w:cs="Arial"/>
          <w:sz w:val="24"/>
          <w:szCs w:val="24"/>
        </w:rPr>
      </w:pPr>
      <w:r>
        <w:rPr>
          <w:rFonts w:cs="Arial" w:ascii="Arial" w:hAnsi="Arial"/>
          <w:sz w:val="24"/>
          <w:szCs w:val="24"/>
        </w:rPr>
        <w:t>Final Grade</w:t>
      </w:r>
    </w:p>
    <w:p>
      <w:pPr>
        <w:pStyle w:val="NormalWeb"/>
        <w:spacing w:before="280" w:after="280"/>
        <w:jc w:val="both"/>
        <w:rPr>
          <w:rFonts w:ascii="Arial" w:hAnsi="Arial" w:cs="Arial"/>
        </w:rPr>
      </w:pPr>
      <w:r>
        <w:rPr>
          <w:rFonts w:cs="Arial" w:ascii="Arial" w:hAnsi="Arial"/>
        </w:rPr>
        <w:t xml:space="preserve">The final grade (out of 20) will be calculated using the </w:t>
      </w:r>
      <w:r>
        <w:rPr>
          <w:rStyle w:val="Strong"/>
          <w:rFonts w:cs="Arial" w:ascii="Arial" w:hAnsi="Arial"/>
        </w:rPr>
        <w:t>more favorable of the following two formulas</w:t>
      </w:r>
      <w:r>
        <w:rPr>
          <w:rFonts w:cs="Arial" w:ascii="Arial" w:hAnsi="Arial"/>
        </w:rPr>
        <w:t>:</w:t>
      </w:r>
    </w:p>
    <w:p>
      <w:pPr>
        <w:pStyle w:val="NormalWeb"/>
        <w:numPr>
          <w:ilvl w:val="0"/>
          <w:numId w:val="7"/>
        </w:numPr>
        <w:spacing w:before="280" w:after="0"/>
        <w:jc w:val="both"/>
        <w:rPr>
          <w:rFonts w:ascii="Arial" w:hAnsi="Arial" w:cs="Arial"/>
        </w:rPr>
      </w:pPr>
      <w:r>
        <w:rPr>
          <w:rStyle w:val="Strong"/>
          <w:rFonts w:cs="Arial" w:ascii="Arial" w:hAnsi="Arial"/>
        </w:rPr>
        <w:t>35% P + 20% E + 20% A + 25% F</w:t>
      </w:r>
    </w:p>
    <w:p>
      <w:pPr>
        <w:pStyle w:val="NormalWeb"/>
        <w:numPr>
          <w:ilvl w:val="0"/>
          <w:numId w:val="7"/>
        </w:numPr>
        <w:spacing w:before="0" w:after="280"/>
        <w:jc w:val="both"/>
        <w:rPr>
          <w:rFonts w:ascii="Arial" w:hAnsi="Arial" w:cs="Arial"/>
        </w:rPr>
      </w:pPr>
      <w:r>
        <w:rPr>
          <w:rStyle w:val="Strong"/>
          <w:rFonts w:cs="Arial" w:ascii="Arial" w:hAnsi="Arial"/>
        </w:rPr>
        <w:t>40% P + 10% E + 10% A + 40% F</w:t>
      </w:r>
    </w:p>
    <w:p>
      <w:pPr>
        <w:pStyle w:val="NormalWeb"/>
        <w:spacing w:before="280" w:after="280"/>
        <w:jc w:val="both"/>
        <w:rPr>
          <w:rFonts w:ascii="Arial" w:hAnsi="Arial" w:cs="Arial"/>
        </w:rPr>
      </w:pPr>
      <w:r>
        <w:rPr>
          <w:rFonts w:cs="Arial" w:ascii="Arial" w:hAnsi="Arial"/>
        </w:rPr>
        <w:t xml:space="preserve">Students who receive </w:t>
      </w:r>
      <w:r>
        <w:rPr>
          <w:rStyle w:val="Strong"/>
          <w:rFonts w:cs="Arial" w:ascii="Arial" w:hAnsi="Arial"/>
        </w:rPr>
        <w:t>full marks in P, E, and A</w:t>
      </w:r>
      <w:r>
        <w:rPr>
          <w:rFonts w:cs="Arial" w:ascii="Arial" w:hAnsi="Arial"/>
        </w:rPr>
        <w:t xml:space="preserve"> will be exempt from the final examination.</w:t>
      </w:r>
    </w:p>
    <w:p>
      <w:pPr>
        <w:pStyle w:val="NormalWeb"/>
        <w:spacing w:before="280" w:after="280"/>
        <w:jc w:val="both"/>
        <w:rPr>
          <w:rFonts w:ascii="Arial" w:hAnsi="Arial" w:cs="Arial"/>
          <w:b/>
        </w:rPr>
      </w:pPr>
      <w:r>
        <w:rPr>
          <w:rStyle w:val="Strong"/>
          <w:rFonts w:cs="Arial" w:ascii="Arial" w:hAnsi="Arial"/>
          <w:b w:val="false"/>
        </w:rPr>
        <w:t>Bonus points may also be added to the final grade based on class participation and active involvement in discussions and exercises during the sessions.</w:t>
      </w:r>
    </w:p>
    <w:p>
      <w:pPr>
        <w:pStyle w:val="Heading3"/>
        <w:spacing w:before="280" w:after="280"/>
        <w:jc w:val="both"/>
        <w:rPr>
          <w:rFonts w:ascii="Arial" w:hAnsi="Arial" w:cs="Arial"/>
          <w:sz w:val="24"/>
          <w:szCs w:val="24"/>
        </w:rPr>
      </w:pPr>
      <w:r>
        <w:rPr>
          <w:rFonts w:cs="Arial" w:ascii="Arial" w:hAnsi="Arial"/>
          <w:sz w:val="24"/>
          <w:szCs w:val="24"/>
        </w:rPr>
        <w:t>Attendance</w:t>
      </w:r>
    </w:p>
    <w:p>
      <w:pPr>
        <w:pStyle w:val="NormalWeb"/>
        <w:spacing w:before="280" w:after="280"/>
        <w:jc w:val="both"/>
        <w:rPr>
          <w:rFonts w:ascii="Arial" w:hAnsi="Arial" w:cs="Arial"/>
        </w:rPr>
      </w:pPr>
      <w:r>
        <w:rPr>
          <w:rFonts w:cs="Arial" w:ascii="Arial" w:hAnsi="Arial"/>
        </w:rPr>
        <w:t>Attendance is very important and students are expected to attend all sessions. However, I understand that exceptional circumstances may occasionally prevent a student from attending. In such cases, students are asked to inform the instructor by email as soon as possible.</w:t>
      </w:r>
    </w:p>
    <w:p>
      <w:pPr>
        <w:pStyle w:val="Heading3"/>
        <w:spacing w:before="280" w:after="280"/>
        <w:jc w:val="both"/>
        <w:rPr>
          <w:rFonts w:ascii="Arial" w:hAnsi="Arial" w:cs="Arial"/>
          <w:sz w:val="24"/>
          <w:szCs w:val="24"/>
        </w:rPr>
      </w:pPr>
      <w:r>
        <w:rPr>
          <w:rFonts w:cs="Arial" w:ascii="Arial" w:hAnsi="Arial"/>
          <w:sz w:val="24"/>
          <w:szCs w:val="24"/>
        </w:rPr>
        <w:t>Language of Assessment</w:t>
      </w:r>
    </w:p>
    <w:p>
      <w:pPr>
        <w:pStyle w:val="NormalWeb"/>
        <w:spacing w:before="280" w:after="280"/>
        <w:jc w:val="both"/>
        <w:rPr>
          <w:rFonts w:ascii="Arial" w:hAnsi="Arial" w:cs="Arial"/>
        </w:rPr>
      </w:pPr>
      <w:r>
        <w:rPr>
          <w:rFonts w:cs="Arial" w:ascii="Arial" w:hAnsi="Arial"/>
        </w:rPr>
        <w:t xml:space="preserve">Assessments are normally conducted in </w:t>
      </w:r>
      <w:r>
        <w:rPr>
          <w:rStyle w:val="Strong"/>
          <w:rFonts w:cs="Arial" w:ascii="Arial" w:hAnsi="Arial"/>
        </w:rPr>
        <w:t>English</w:t>
      </w:r>
      <w:r>
        <w:rPr>
          <w:rFonts w:cs="Arial" w:ascii="Arial" w:hAnsi="Arial"/>
        </w:rPr>
        <w:t xml:space="preserve">. However, students may request to complete some assessments in </w:t>
      </w:r>
      <w:r>
        <w:rPr>
          <w:rStyle w:val="Strong"/>
          <w:rFonts w:cs="Arial" w:ascii="Arial" w:hAnsi="Arial"/>
        </w:rPr>
        <w:t>French</w:t>
      </w:r>
      <w:r>
        <w:rPr>
          <w:rFonts w:cs="Arial" w:ascii="Arial" w:hAnsi="Arial"/>
        </w:rPr>
        <w:t>.</w:t>
      </w:r>
    </w:p>
    <w:p>
      <w:pPr>
        <w:pStyle w:val="Normal"/>
        <w:spacing w:lineRule="auto" w:line="240" w:beforeAutospacing="1" w:afterAutospacing="1"/>
        <w:jc w:val="both"/>
        <w:rPr>
          <w:rFonts w:ascii="Arial" w:hAnsi="Arial" w:eastAsia="Times New Roman" w:cs="Arial"/>
          <w:sz w:val="24"/>
          <w:szCs w:val="24"/>
        </w:rPr>
      </w:pPr>
      <w:r>
        <w:rPr>
          <w:rFonts w:eastAsia="Times New Roman" w:cs="Arial" w:ascii="Arial" w:hAnsi="Arial"/>
          <w:b/>
          <w:bCs/>
          <w:sz w:val="24"/>
          <w:szCs w:val="24"/>
        </w:rPr>
        <w:t>Conversion to the ELTE Grading System</w:t>
      </w:r>
      <w:r>
        <w:rPr>
          <w:rFonts w:eastAsia="Times New Roman" w:cs="Arial" w:ascii="Arial" w:hAnsi="Arial"/>
          <w:sz w:val="24"/>
          <w:szCs w:val="24"/>
        </w:rPr>
        <w:t>:</w:t>
      </w:r>
    </w:p>
    <w:tbl>
      <w:tblPr>
        <w:tblW w:w="3658" w:type="dxa"/>
        <w:jc w:val="left"/>
        <w:tblInd w:w="0" w:type="dxa"/>
        <w:tblLayout w:type="fixed"/>
        <w:tblCellMar>
          <w:top w:w="15" w:type="dxa"/>
          <w:left w:w="15" w:type="dxa"/>
          <w:bottom w:w="15" w:type="dxa"/>
          <w:right w:w="15" w:type="dxa"/>
        </w:tblCellMar>
        <w:tblLook w:val="04a0" w:noVBand="1" w:noHBand="0" w:lastColumn="0" w:firstColumn="1" w:lastRow="0" w:firstRow="1"/>
      </w:tblPr>
      <w:tblGrid>
        <w:gridCol w:w="1969"/>
        <w:gridCol w:w="1688"/>
      </w:tblGrid>
      <w:tr>
        <w:trPr>
          <w:tblHeader w:val="true"/>
        </w:trPr>
        <w:tc>
          <w:tcPr>
            <w:tcW w:w="1969" w:type="dxa"/>
            <w:tcBorders/>
            <w:vAlign w:val="center"/>
          </w:tcPr>
          <w:p>
            <w:pPr>
              <w:pStyle w:val="Normal"/>
              <w:spacing w:lineRule="auto" w:line="240" w:before="0" w:after="0"/>
              <w:jc w:val="both"/>
              <w:rPr>
                <w:rFonts w:ascii="Arial" w:hAnsi="Arial" w:eastAsia="Times New Roman" w:cs="Arial"/>
                <w:b/>
                <w:bCs/>
                <w:sz w:val="24"/>
                <w:szCs w:val="24"/>
              </w:rPr>
            </w:pPr>
            <w:r>
              <w:rPr>
                <w:rFonts w:eastAsia="Times New Roman" w:cs="Arial" w:ascii="Arial" w:hAnsi="Arial"/>
                <w:b/>
                <w:bCs/>
                <w:sz w:val="24"/>
                <w:szCs w:val="24"/>
              </w:rPr>
              <w:t>Score (out of 20)</w:t>
            </w:r>
          </w:p>
        </w:tc>
        <w:tc>
          <w:tcPr>
            <w:tcW w:w="1688" w:type="dxa"/>
            <w:tcBorders/>
            <w:vAlign w:val="center"/>
          </w:tcPr>
          <w:p>
            <w:pPr>
              <w:pStyle w:val="Normal"/>
              <w:spacing w:lineRule="auto" w:line="240" w:before="0" w:after="0"/>
              <w:jc w:val="both"/>
              <w:rPr>
                <w:rFonts w:ascii="Arial" w:hAnsi="Arial" w:eastAsia="Times New Roman" w:cs="Arial"/>
                <w:b/>
                <w:bCs/>
                <w:sz w:val="24"/>
                <w:szCs w:val="24"/>
              </w:rPr>
            </w:pPr>
            <w:r>
              <w:rPr>
                <w:rFonts w:eastAsia="Times New Roman" w:cs="Arial" w:ascii="Arial" w:hAnsi="Arial"/>
                <w:b/>
                <w:bCs/>
                <w:sz w:val="24"/>
                <w:szCs w:val="24"/>
              </w:rPr>
              <w:t>ELTE Grade</w:t>
            </w:r>
          </w:p>
        </w:tc>
      </w:tr>
      <w:tr>
        <w:trPr/>
        <w:tc>
          <w:tcPr>
            <w:tcW w:w="1969"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0 – 9.99</w:t>
            </w:r>
          </w:p>
        </w:tc>
        <w:tc>
          <w:tcPr>
            <w:tcW w:w="1688"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1 (Fail)</w:t>
            </w:r>
          </w:p>
        </w:tc>
      </w:tr>
      <w:tr>
        <w:trPr/>
        <w:tc>
          <w:tcPr>
            <w:tcW w:w="1969"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10 – 11.99</w:t>
            </w:r>
          </w:p>
        </w:tc>
        <w:tc>
          <w:tcPr>
            <w:tcW w:w="1688"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2 (Sufficient)</w:t>
            </w:r>
          </w:p>
        </w:tc>
      </w:tr>
      <w:tr>
        <w:trPr/>
        <w:tc>
          <w:tcPr>
            <w:tcW w:w="1969"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12 – 13.99</w:t>
            </w:r>
          </w:p>
        </w:tc>
        <w:tc>
          <w:tcPr>
            <w:tcW w:w="1688"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3 (Satisfactory)</w:t>
            </w:r>
          </w:p>
        </w:tc>
      </w:tr>
      <w:tr>
        <w:trPr/>
        <w:tc>
          <w:tcPr>
            <w:tcW w:w="1969"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14 – 15.99</w:t>
            </w:r>
          </w:p>
        </w:tc>
        <w:tc>
          <w:tcPr>
            <w:tcW w:w="1688"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4 (Good)</w:t>
            </w:r>
          </w:p>
        </w:tc>
      </w:tr>
      <w:tr>
        <w:trPr/>
        <w:tc>
          <w:tcPr>
            <w:tcW w:w="1969"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16 – 20</w:t>
            </w:r>
          </w:p>
        </w:tc>
        <w:tc>
          <w:tcPr>
            <w:tcW w:w="1688" w:type="dxa"/>
            <w:tcBorders/>
            <w:vAlign w:val="center"/>
          </w:tcPr>
          <w:p>
            <w:pPr>
              <w:pStyle w:val="Normal"/>
              <w:spacing w:lineRule="auto" w:line="240" w:before="0" w:after="0"/>
              <w:jc w:val="both"/>
              <w:rPr>
                <w:rFonts w:ascii="Arial" w:hAnsi="Arial" w:eastAsia="Times New Roman" w:cs="Arial"/>
                <w:sz w:val="24"/>
                <w:szCs w:val="24"/>
              </w:rPr>
            </w:pPr>
            <w:r>
              <w:rPr>
                <w:rFonts w:eastAsia="Times New Roman" w:cs="Arial" w:ascii="Arial" w:hAnsi="Arial"/>
                <w:sz w:val="24"/>
                <w:szCs w:val="24"/>
              </w:rPr>
              <w:t>5 (Excellent)</w:t>
            </w:r>
          </w:p>
        </w:tc>
      </w:tr>
    </w:tbl>
    <w:p>
      <w:pPr>
        <w:pStyle w:val="Normal"/>
        <w:spacing w:lineRule="auto" w:line="240" w:before="0" w:after="0"/>
        <w:jc w:val="both"/>
        <w:rPr>
          <w:rFonts w:ascii="Arial" w:hAnsi="Arial" w:eastAsia="Times New Roman" w:cs="Arial"/>
          <w:sz w:val="24"/>
          <w:szCs w:val="24"/>
        </w:rPr>
      </w:pPr>
      <w:r>
        <w:rPr/>
        <mc:AlternateContent>
          <mc:Choice Requires="wps">
            <w:drawing>
              <wp:inline distT="0" distB="0" distL="0" distR="0">
                <wp:extent cx="635"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72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0pt;height:1.45pt;mso-wrap-style:none;v-text-anchor:middle;mso-position-horizontal:center;mso-position-vertical:top">
                <v:fill o:detectmouseclick="t" type="solid" color2="#5f5f5f"/>
                <v:stroke color="#3465a4" joinstyle="round" endcap="flat"/>
                <w10:wrap type="topAndBottom"/>
              </v:rect>
            </w:pict>
          </mc:Fallback>
        </mc:AlternateContent>
      </w:r>
      <w:r>
        <w:rPr>
          <w:rFonts w:eastAsia="Times New Roman" w:cs="Arial" w:ascii="Arial" w:hAnsi="Arial"/>
          <w:b/>
          <w:bCs/>
          <w:sz w:val="24"/>
          <w:szCs w:val="24"/>
        </w:rPr>
        <w:t>NB</w:t>
      </w:r>
      <w:r>
        <w:rPr>
          <w:rFonts w:eastAsia="Times New Roman" w:cs="Arial" w:ascii="Arial" w:hAnsi="Arial"/>
          <w:sz w:val="24"/>
          <w:szCs w:val="24"/>
        </w:rPr>
        <w:t>: All information provided here is indicative and may be subject to slight modifications depending on contextual or pedagogical needs.</w:t>
      </w:r>
    </w:p>
    <w:p>
      <w:pPr>
        <w:pStyle w:val="Normal"/>
        <w:widowControl/>
        <w:bidi w:val="0"/>
        <w:spacing w:lineRule="auto" w:line="259" w:before="0" w:after="160"/>
        <w:jc w:val="left"/>
        <w:rPr/>
      </w:pPr>
      <w:r>
        <w:rPr/>
      </w:r>
    </w:p>
    <w:sectPr>
      <w:type w:val="nextPage"/>
      <w:pgSz w:w="12240" w:h="15840"/>
      <w:pgMar w:left="1417" w:right="1417" w:gutter="0" w:header="0" w:top="567"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087fa5"/>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2">
    <w:name w:val="heading 2"/>
    <w:basedOn w:val="Normal"/>
    <w:link w:val="Heading2Char"/>
    <w:uiPriority w:val="9"/>
    <w:qFormat/>
    <w:rsid w:val="00dc3fbb"/>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dc3fbb"/>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dc3fbb"/>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dc3fbb"/>
    <w:rPr>
      <w:rFonts w:ascii="Times New Roman" w:hAnsi="Times New Roman" w:eastAsia="Times New Roman" w:cs="Times New Roman"/>
      <w:b/>
      <w:bCs/>
      <w:sz w:val="27"/>
      <w:szCs w:val="27"/>
    </w:rPr>
  </w:style>
  <w:style w:type="character" w:styleId="Strong">
    <w:name w:val="Strong"/>
    <w:basedOn w:val="DefaultParagraphFont"/>
    <w:uiPriority w:val="22"/>
    <w:qFormat/>
    <w:rsid w:val="00dc3fbb"/>
    <w:rPr>
      <w:b/>
      <w:bCs/>
    </w:rPr>
  </w:style>
  <w:style w:type="character" w:styleId="katex-mathml" w:customStyle="1">
    <w:name w:val="katex-mathml"/>
    <w:basedOn w:val="DefaultParagraphFont"/>
    <w:qFormat/>
    <w:rsid w:val="00dc3fbb"/>
    <w:rPr/>
  </w:style>
  <w:style w:type="character" w:styleId="Heading1Char" w:customStyle="1">
    <w:name w:val="Heading 1 Char"/>
    <w:basedOn w:val="DefaultParagraphFont"/>
    <w:link w:val="Heading1"/>
    <w:uiPriority w:val="9"/>
    <w:qFormat/>
    <w:rsid w:val="00087fa5"/>
    <w:rPr>
      <w:rFonts w:ascii="Calibri Light" w:hAnsi="Calibri Light" w:eastAsia="" w:cs="" w:asciiTheme="majorHAnsi" w:cstheme="majorBidi" w:eastAsiaTheme="majorEastAsia" w:hAnsiTheme="majorHAnsi"/>
      <w:color w:themeColor="accent1" w:themeShade="bf" w:val="2F5496"/>
      <w:sz w:val="32"/>
      <w:szCs w:val="32"/>
    </w:rPr>
  </w:style>
  <w:style w:type="character" w:styleId="Hyperlink">
    <w:name w:val="Hyperlink"/>
    <w:basedOn w:val="DefaultParagraphFont"/>
    <w:uiPriority w:val="99"/>
    <w:semiHidden/>
    <w:unhideWhenUsed/>
    <w:rsid w:val="00087fa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unhideWhenUsed/>
    <w:qFormat/>
    <w:rsid w:val="00dc3fbb"/>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dc3fbb"/>
    <w:pPr>
      <w:spacing w:before="0" w:after="160"/>
      <w:ind w:lef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ichieelian@g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85</TotalTime>
  <Application>LibreOffice/25.2.2.2$MacOSX_AARCH64 LibreOffice_project/7370d4be9e3cf6031a51beef54ff3bda878e3fac</Application>
  <AppVersion>15.0000</AppVersion>
  <Pages>3</Pages>
  <Words>845</Words>
  <Characters>4940</Characters>
  <CharactersWithSpaces>5668</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2026-08-31T13:28:00Z</dcterms:created>
  <dc:creator>Rizkallah Elian</dc:creator>
  <dc:description/>
  <dc:language>en-US</dc:language>
  <cp:lastModifiedBy/>
  <dcterms:modified xsi:type="dcterms:W3CDTF">2026-09-03T10:12:08Z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