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212" w:type="dxa"/>
        <w:jc w:val="start"/>
        <w:tblInd w:w="-123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212"/>
      </w:tblGrid>
      <w:tr>
        <w:trPr/>
        <w:tc>
          <w:tcPr>
            <w:tcW w:w="92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</w:tabs>
              <w:ind w:hanging="0" w:start="0" w:end="0"/>
              <w:jc w:val="start"/>
              <w:rPr/>
            </w:pPr>
            <w:r>
              <w:rPr>
                <w:rFonts w:eastAsia="Arial" w:ascii="Arial" w:hAnsi="Arial"/>
                <w:b/>
                <w:color w:val="000000"/>
              </w:rPr>
              <w:t>A kurzus kódja(i):</w:t>
            </w:r>
            <w:r>
              <w:rPr>
                <w:rFonts w:eastAsia="Arial" w:ascii="Arial" w:hAnsi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Arial"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BMA-FILD-302.0</w:t>
            </w:r>
            <w:r>
              <w:rPr>
                <w:rFonts w:eastAsia="Arial"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1</w:t>
            </w:r>
            <w:r>
              <w:rPr>
                <w:rFonts w:eastAsia="Arial" w:cs="Calibri" w:ascii="Arial" w:hAnsi="Arial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BBN-FIL18-302.0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92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</w:tabs>
              <w:ind w:hanging="0" w:start="0" w:end="0"/>
              <w:jc w:val="start"/>
              <w:rPr/>
            </w:pPr>
            <w:r>
              <w:rPr>
                <w:rFonts w:eastAsia="Arial" w:ascii="Arial" w:hAnsi="Arial"/>
                <w:b/>
                <w:color w:val="000000"/>
              </w:rPr>
              <w:t>A kurzus megnevezése</w:t>
            </w:r>
            <w:r>
              <w:rPr>
                <w:rFonts w:eastAsia="Arial" w:ascii="Arial" w:hAnsi="Arial"/>
                <w:color w:val="000000"/>
              </w:rPr>
              <w:t>: Logika szeminárium</w:t>
            </w:r>
          </w:p>
        </w:tc>
      </w:tr>
      <w:tr>
        <w:trPr/>
        <w:tc>
          <w:tcPr>
            <w:tcW w:w="92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</w:tabs>
              <w:ind w:hanging="0" w:start="0" w:end="0"/>
              <w:jc w:val="start"/>
              <w:rPr/>
            </w:pPr>
            <w:r>
              <w:rPr>
                <w:rFonts w:eastAsia="Arial" w:ascii="Arial" w:hAnsi="Arial"/>
                <w:b/>
                <w:color w:val="000000"/>
              </w:rPr>
              <w:t>A kurzus megnevezése angolul</w:t>
            </w:r>
            <w:r>
              <w:rPr>
                <w:rFonts w:eastAsia="Arial" w:ascii="Arial" w:hAnsi="Arial"/>
                <w:color w:val="000000"/>
              </w:rPr>
              <w:t>: Logic seminar</w:t>
            </w:r>
          </w:p>
        </w:tc>
      </w:tr>
      <w:tr>
        <w:trPr/>
        <w:tc>
          <w:tcPr>
            <w:tcW w:w="92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</w:tabs>
              <w:ind w:hanging="0" w:start="0" w:end="0"/>
              <w:jc w:val="start"/>
              <w:rPr/>
            </w:pPr>
            <w:r>
              <w:rPr>
                <w:rFonts w:eastAsia="Arial" w:ascii="Arial" w:hAnsi="Arial"/>
                <w:b/>
                <w:color w:val="000000"/>
              </w:rPr>
              <w:t>A kurzus előadója</w:t>
            </w:r>
            <w:r>
              <w:rPr>
                <w:rFonts w:eastAsia="Arial" w:ascii="Arial" w:hAnsi="Arial"/>
                <w:color w:val="000000"/>
              </w:rPr>
              <w:t>: Gömöri Márton</w:t>
            </w:r>
          </w:p>
        </w:tc>
      </w:tr>
      <w:tr>
        <w:trPr/>
        <w:tc>
          <w:tcPr>
            <w:tcW w:w="92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</w:tabs>
              <w:ind w:hanging="0" w:start="0" w:end="0"/>
              <w:jc w:val="start"/>
              <w:rPr>
                <w:rFonts w:ascii="Arial" w:hAnsi="Arial" w:eastAsia="Arial"/>
                <w:b/>
                <w:color w:val="000000"/>
              </w:rPr>
            </w:pPr>
            <w:r>
              <w:rPr>
                <w:rFonts w:eastAsia="Arial" w:ascii="Arial" w:hAnsi="Arial"/>
                <w:b/>
                <w:color w:val="000000"/>
              </w:rPr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jc w:val="start"/>
              <w:rPr>
                <w:color w:val="000000"/>
              </w:rPr>
            </w:pPr>
            <w:r>
              <w:rPr>
                <w:rFonts w:eastAsia="Arial" w:ascii="Arial" w:hAnsi="Arial"/>
                <w:b/>
                <w:color w:val="000000"/>
              </w:rPr>
              <w:t>Oktatás célja</w:t>
            </w:r>
            <w:r>
              <w:rPr>
                <w:rFonts w:eastAsia="Arial" w:ascii="Arial" w:hAnsi="Arial"/>
                <w:color w:val="000000"/>
              </w:rPr>
              <w:t xml:space="preserve">: </w:t>
            </w:r>
            <w:r>
              <w:rPr>
                <w:rFonts w:ascii="Arial" w:hAnsi="Arial"/>
              </w:rPr>
              <w:t>A kurzus célja, hogy megismertesse a hallgatókat a formális logika alapfogalmaival, alapelveivel és legegyszerűbb technikáival. A szeminárium egy két féléves logikakurzus első részét képezi, amely a tavaszi félévben a Logika előadással folytatódik.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jc w:val="start"/>
              <w:rPr>
                <w:rFonts w:ascii="Arial" w:hAnsi="Arial" w:eastAsia="Arial"/>
                <w:b/>
                <w:color w:val="000000"/>
              </w:rPr>
            </w:pPr>
            <w:r>
              <w:rPr>
                <w:rFonts w:eastAsia="Arial" w:ascii="Arial" w:hAnsi="Arial"/>
                <w:b/>
                <w:color w:val="000000"/>
              </w:rPr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jc w:val="start"/>
              <w:rPr>
                <w:color w:val="000000"/>
              </w:rPr>
            </w:pPr>
            <w:r>
              <w:rPr>
                <w:rFonts w:eastAsia="Arial" w:ascii="Arial" w:hAnsi="Arial"/>
                <w:b/>
                <w:color w:val="000000"/>
              </w:rPr>
              <w:t xml:space="preserve">Tantárgy tartalma: </w:t>
            </w: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 xml:space="preserve">A </w:t>
            </w: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félév a</w:t>
            </w: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nyag</w:t>
            </w: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a</w:t>
            </w: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 xml:space="preserve"> a következő témákat fedi le: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ind w:hanging="360" w:start="720" w:end="0"/>
              <w:jc w:val="start"/>
              <w:rPr>
                <w:rFonts w:ascii="Arial" w:hAnsi="Arial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érvek és érvényes következtetés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ind w:hanging="360" w:start="720" w:end="0"/>
              <w:jc w:val="start"/>
              <w:rPr>
                <w:rFonts w:ascii="Arial" w:hAnsi="Arial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deduktív és induktív definíciók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ind w:hanging="360" w:start="720" w:end="0"/>
              <w:jc w:val="start"/>
              <w:rPr>
                <w:rFonts w:ascii="Arial" w:hAnsi="Arial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 xml:space="preserve">a </w:t>
            </w:r>
            <w:r>
              <w:rPr>
                <w:rFonts w:eastAsia="Arial" w:ascii="Arial" w:hAnsi="Arial"/>
                <w:color w:val="000000"/>
                <w:sz w:val="24"/>
              </w:rPr>
              <w:t xml:space="preserve">propozicionális </w:t>
            </w: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logika nyelve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ind w:hanging="360" w:start="720" w:end="0"/>
              <w:jc w:val="start"/>
              <w:rPr>
                <w:rFonts w:ascii="Arial" w:hAnsi="Arial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igazságfüggvényes szemantika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ind w:hanging="360" w:start="720" w:end="0"/>
              <w:jc w:val="start"/>
              <w:rPr>
                <w:rFonts w:ascii="Arial" w:hAnsi="Arial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 xml:space="preserve">centrális logikai fogalmak a 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sz w:val="24"/>
              </w:rPr>
              <w:t xml:space="preserve">propozicionális </w:t>
            </w: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logikában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ind w:hanging="360" w:start="720" w:end="0"/>
              <w:jc w:val="start"/>
              <w:rPr>
                <w:rFonts w:ascii="Arial" w:hAnsi="Arial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 xml:space="preserve">a 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sz w:val="24"/>
              </w:rPr>
              <w:t xml:space="preserve">propozicionális 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sz w:val="24"/>
              </w:rPr>
              <w:t>logika</w:t>
            </w: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 xml:space="preserve"> korlátai, kvantifikáció és az elsőrendű logika nyelve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ind w:hanging="360" w:start="720" w:end="0"/>
              <w:jc w:val="start"/>
              <w:rPr>
                <w:rFonts w:ascii="Arial" w:hAnsi="Arial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köznyelvi mondatok formalizálása az elsőrendű logika nyelvén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ind w:hanging="360" w:start="720" w:end="0"/>
              <w:jc w:val="start"/>
              <w:rPr>
                <w:rFonts w:ascii="Arial" w:hAnsi="Arial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halmazok, függvények, relációk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ind w:hanging="360" w:start="720" w:end="0"/>
              <w:jc w:val="start"/>
              <w:rPr>
                <w:rFonts w:ascii="Arial" w:hAnsi="Arial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az elsőrendű logika modelljei, formulák interpretációja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ind w:hanging="360" w:start="720" w:end="0"/>
              <w:jc w:val="start"/>
              <w:rPr>
                <w:rFonts w:ascii="Arial" w:hAnsi="Arial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egyszerű következtetések vizsgálata az elsőrendű nyelven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jc w:val="start"/>
              <w:rPr>
                <w:rFonts w:ascii="Arial" w:hAnsi="Arial" w:eastAsia="Arial"/>
                <w:b/>
                <w:color w:val="000000"/>
              </w:rPr>
            </w:pPr>
            <w:r>
              <w:rPr>
                <w:rFonts w:eastAsia="Arial" w:ascii="Arial" w:hAnsi="Arial"/>
                <w:b/>
                <w:color w:val="000000"/>
              </w:rPr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jc w:val="start"/>
              <w:rPr>
                <w:color w:val="000000"/>
              </w:rPr>
            </w:pPr>
            <w:r>
              <w:rPr>
                <w:rFonts w:eastAsia="Arial" w:ascii="Arial" w:hAnsi="Arial"/>
                <w:b/>
                <w:color w:val="000000"/>
              </w:rPr>
              <w:t xml:space="preserve">Számonkérési és értékelési rendszer: </w:t>
            </w: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Rövid zárthelyi dolgozatok alapján.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jc w:val="start"/>
              <w:rPr>
                <w:rFonts w:ascii="Arial" w:hAnsi="Arial" w:eastAsia="Arial"/>
                <w:b/>
                <w:color w:val="000000"/>
              </w:rPr>
            </w:pPr>
            <w:r>
              <w:rPr>
                <w:rFonts w:eastAsia="Arial" w:ascii="Arial" w:hAnsi="Arial"/>
                <w:b/>
                <w:color w:val="000000"/>
              </w:rPr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jc w:val="start"/>
              <w:rPr>
                <w:color w:val="000000"/>
              </w:rPr>
            </w:pPr>
            <w:r>
              <w:rPr>
                <w:rFonts w:eastAsia="Arial" w:ascii="Arial" w:hAnsi="Arial"/>
                <w:b/>
                <w:color w:val="000000"/>
              </w:rPr>
              <w:t>Kötelező irodalom:</w:t>
            </w:r>
          </w:p>
          <w:p>
            <w:pPr>
              <w:pStyle w:val="TextBody"/>
              <w:widowControl w:val="false"/>
              <w:tabs>
                <w:tab w:val="clear" w:pos="708"/>
              </w:tabs>
              <w:spacing w:lineRule="auto" w:line="252" w:before="0" w:after="0"/>
              <w:ind w:hanging="0" w:start="0" w:end="0"/>
              <w:jc w:val="start"/>
              <w:rPr>
                <w:color w:val="000000"/>
                <w:lang w:val="en-GB"/>
              </w:rPr>
            </w:pPr>
            <w:bookmarkStart w:id="0" w:name="magicparlabel-2711"/>
            <w:bookmarkEnd w:id="0"/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lang w:val="en-GB" w:eastAsia="hu-HU"/>
              </w:rPr>
              <w:t xml:space="preserve">P. D. Magnus and T. Button, </w:t>
            </w:r>
            <w:r>
              <w:rPr>
                <w:rStyle w:val="Emphasis"/>
                <w:rFonts w:eastAsia="Times New Roman" w:cs="Arial" w:ascii="Arial" w:hAnsi="Arial"/>
                <w:b w:val="false"/>
                <w:bCs w:val="false"/>
                <w:i/>
                <w:iCs/>
                <w:color w:val="000000"/>
                <w:lang w:val="en-GB" w:eastAsia="hu-HU"/>
              </w:rPr>
              <w:t>forallx:Cambridge</w:t>
            </w: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lang w:val="en-GB" w:eastAsia="hu-HU"/>
              </w:rPr>
              <w:t>, 2017.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jc w:val="both"/>
              <w:rPr>
                <w:rFonts w:ascii="Arial" w:hAnsi="Arial" w:eastAsia="Arial"/>
                <w:color w:val="000000"/>
              </w:rPr>
            </w:pPr>
            <w:r>
              <w:rPr>
                <w:rFonts w:eastAsia="Arial" w:ascii="Arial" w:hAnsi="Arial"/>
                <w:color w:val="000000"/>
              </w:rPr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jc w:val="both"/>
              <w:rPr>
                <w:color w:val="000000"/>
              </w:rPr>
            </w:pPr>
            <w:r>
              <w:rPr>
                <w:rFonts w:eastAsia="Arial" w:ascii="Arial" w:hAnsi="Arial"/>
                <w:b/>
                <w:color w:val="000000"/>
              </w:rPr>
              <w:t>Ajánlott irodalom:</w:t>
            </w:r>
          </w:p>
          <w:p>
            <w:pPr>
              <w:pStyle w:val="Normal"/>
              <w:tabs>
                <w:tab w:val="clear" w:pos="708"/>
              </w:tabs>
              <w:spacing w:lineRule="auto" w:line="252" w:before="0" w:after="0"/>
              <w:ind w:hanging="0" w:start="0" w:end="0"/>
              <w:jc w:val="both"/>
              <w:rPr>
                <w:color w:val="000000"/>
                <w:lang w:val="en-GB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 xml:space="preserve">J. Barwise and J. Etchemendy, </w:t>
            </w:r>
            <w:r>
              <w:rPr>
                <w:rFonts w:eastAsia="Arial" w:ascii="Arial" w:hAnsi="Arial"/>
                <w:b w:val="false"/>
                <w:bCs w:val="false"/>
                <w:i/>
                <w:iCs/>
                <w:color w:val="000000"/>
                <w:lang w:val="en-GB"/>
              </w:rPr>
              <w:t>Language, Proof and Logic.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 xml:space="preserve"> CSLI Publications, 2011.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jc w:val="both"/>
              <w:rPr>
                <w:color w:val="000000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 xml:space="preserve">Ruzsa Imre, </w:t>
            </w:r>
            <w:r>
              <w:rPr>
                <w:rFonts w:eastAsia="Arial" w:ascii="Arial" w:hAnsi="Arial"/>
                <w:b w:val="false"/>
                <w:bCs w:val="false"/>
                <w:i/>
                <w:color w:val="000000"/>
              </w:rPr>
              <w:t>Bevezetés a modern logikába</w:t>
            </w:r>
            <w:r>
              <w:rPr>
                <w:rFonts w:eastAsia="Arial" w:ascii="Arial" w:hAnsi="Arial"/>
                <w:b w:val="false"/>
                <w:bCs w:val="false"/>
                <w:color w:val="000000"/>
              </w:rPr>
              <w:t>. 2. kiadás. Osiris, 2000.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52" w:before="0" w:after="0"/>
              <w:ind w:hanging="0" w:start="0" w:end="0"/>
              <w:jc w:val="start"/>
              <w:rPr>
                <w:color w:val="000000"/>
                <w:lang w:val="en-GB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 xml:space="preserve">H. Halvorson, </w:t>
            </w:r>
            <w:r>
              <w:rPr>
                <w:rFonts w:eastAsia="Arial" w:ascii="Arial" w:hAnsi="Arial"/>
                <w:b w:val="false"/>
                <w:bCs w:val="false"/>
                <w:i/>
                <w:iCs/>
                <w:color w:val="000000"/>
                <w:lang w:val="en-GB"/>
              </w:rPr>
              <w:t>How Logic Works: A User's Guide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>. Princeton, NJ: Princeton University Press, 2020.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52" w:before="0" w:after="0"/>
              <w:ind w:hanging="0" w:start="0" w:end="0"/>
              <w:jc w:val="start"/>
              <w:rPr>
                <w:color w:val="000000"/>
                <w:lang w:val="en-GB"/>
              </w:rPr>
            </w:pP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 xml:space="preserve">I. Chiswell and W. Hodges,  </w:t>
            </w:r>
            <w:r>
              <w:rPr>
                <w:rFonts w:eastAsia="Arial" w:ascii="Arial" w:hAnsi="Arial"/>
                <w:b w:val="false"/>
                <w:bCs w:val="false"/>
                <w:i/>
                <w:iCs/>
                <w:color w:val="000000"/>
                <w:lang w:val="en-GB"/>
              </w:rPr>
              <w:t>Mathematical Logic</w:t>
            </w:r>
            <w:r>
              <w:rPr>
                <w:rFonts w:eastAsia="Arial" w:ascii="Arial" w:hAnsi="Arial"/>
                <w:b w:val="false"/>
                <w:bCs w:val="false"/>
                <w:color w:val="000000"/>
                <w:lang w:val="en-GB"/>
              </w:rPr>
              <w:t>. Oxford University Press, 2007.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jc w:val="start"/>
              <w:rPr>
                <w:rFonts w:ascii="Arial" w:hAnsi="Arial" w:eastAsia="Arial"/>
                <w:color w:val="000000"/>
                <w:spacing w:val="-3"/>
              </w:rPr>
            </w:pPr>
            <w:r>
              <w:rPr>
                <w:rFonts w:eastAsia="Arial" w:ascii="Arial" w:hAnsi="Arial"/>
                <w:color w:val="000000"/>
                <w:spacing w:val="-3"/>
              </w:rPr>
            </w:r>
          </w:p>
        </w:tc>
      </w:tr>
    </w:tbl>
    <w:p>
      <w:pPr>
        <w:pStyle w:val="Normal"/>
        <w:ind w:hanging="0" w:start="0" w:end="0"/>
        <w:rPr>
          <w:color w:val="000000"/>
        </w:rPr>
      </w:pPr>
      <w:r>
        <w:rPr>
          <w:color w:val="000000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0"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•"/>
      <w:lvlJc w:val="start"/>
      <w:pPr>
        <w:tabs>
          <w:tab w:val="num" w:pos="0"/>
        </w:tabs>
        <w:ind w:start="720" w:hanging="360"/>
      </w:pPr>
      <w:rPr>
        <w:rFonts w:ascii="0" w:hAnsi="0" w:cs="0" w:hint="default"/>
      </w:rPr>
    </w:lvl>
    <w:lvl w:ilvl="1">
      <w:start w:val="1"/>
      <w:numFmt w:val="bullet"/>
      <w:lvlText w:val="◦"/>
      <w:lvlJc w:val="start"/>
      <w:pPr>
        <w:tabs>
          <w:tab w:val="num" w:pos="0"/>
        </w:tabs>
        <w:ind w:start="1080" w:hanging="360"/>
      </w:pPr>
      <w:rPr>
        <w:rFonts w:ascii="0" w:hAnsi="0" w:cs="0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1440" w:hanging="360"/>
      </w:pPr>
      <w:rPr>
        <w:rFonts w:ascii="0" w:hAnsi="0" w:cs="0" w:hint="default"/>
      </w:rPr>
    </w:lvl>
    <w:lvl w:ilvl="3">
      <w:start w:val="1"/>
      <w:numFmt w:val="bullet"/>
      <w:lvlText w:val="•"/>
      <w:lvlJc w:val="start"/>
      <w:pPr>
        <w:tabs>
          <w:tab w:val="num" w:pos="0"/>
        </w:tabs>
        <w:ind w:start="1800" w:hanging="360"/>
      </w:pPr>
      <w:rPr>
        <w:rFonts w:ascii="0" w:hAnsi="0" w:cs="0" w:hint="default"/>
      </w:rPr>
    </w:lvl>
    <w:lvl w:ilvl="4">
      <w:start w:val="1"/>
      <w:numFmt w:val="bullet"/>
      <w:lvlText w:val="◦"/>
      <w:lvlJc w:val="start"/>
      <w:pPr>
        <w:tabs>
          <w:tab w:val="num" w:pos="0"/>
        </w:tabs>
        <w:ind w:start="2160" w:hanging="360"/>
      </w:pPr>
      <w:rPr>
        <w:rFonts w:ascii="0" w:hAnsi="0" w:cs="0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2520" w:hanging="360"/>
      </w:pPr>
      <w:rPr>
        <w:rFonts w:ascii="0" w:hAnsi="0" w:cs="0" w:hint="default"/>
      </w:rPr>
    </w:lvl>
    <w:lvl w:ilvl="6">
      <w:start w:val="1"/>
      <w:numFmt w:val="bullet"/>
      <w:lvlText w:val="•"/>
      <w:lvlJc w:val="start"/>
      <w:pPr>
        <w:tabs>
          <w:tab w:val="num" w:pos="0"/>
        </w:tabs>
        <w:ind w:start="2880" w:hanging="360"/>
      </w:pPr>
      <w:rPr>
        <w:rFonts w:ascii="0" w:hAnsi="0" w:cs="0" w:hint="default"/>
      </w:rPr>
    </w:lvl>
    <w:lvl w:ilvl="7">
      <w:start w:val="1"/>
      <w:numFmt w:val="bullet"/>
      <w:lvlText w:val="◦"/>
      <w:lvlJc w:val="start"/>
      <w:pPr>
        <w:tabs>
          <w:tab w:val="num" w:pos="0"/>
        </w:tabs>
        <w:ind w:start="3240" w:hanging="360"/>
      </w:pPr>
      <w:rPr>
        <w:rFonts w:ascii="0" w:hAnsi="0" w:cs="0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3600" w:hanging="360"/>
      </w:pPr>
      <w:rPr>
        <w:rFonts w:ascii="0" w:hAnsi="0" w:cs="0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  <w:textAlignment w:val="auto"/>
    </w:pPr>
    <w:rPr>
      <w:rFonts w:ascii="Times New Roman" w:hAnsi="Times New Roman" w:eastAsia="Liberation Serif" w:cs="Liberation Serif"/>
      <w:color w:val="auto"/>
      <w:kern w:val="2"/>
      <w:sz w:val="24"/>
      <w:szCs w:val="24"/>
      <w:lang w:val="hu-HU" w:eastAsia="hi-IN" w:bidi="hi-IN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rFonts w:ascii="Times New Roman" w:hAnsi="Times New Roman" w:eastAsia="Times New Roman" w:cs="Times New Roman"/>
      <w:color w:val="0000FF"/>
      <w:sz w:val="24"/>
      <w:szCs w:val="24"/>
      <w:u w:val="single"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widowControl/>
      <w:suppressAutoHyphens w:val="true"/>
      <w:bidi w:val="0"/>
      <w:spacing w:before="240" w:after="120"/>
      <w:jc w:val="start"/>
      <w:textAlignment w:val="auto"/>
    </w:pPr>
    <w:rPr>
      <w:rFonts w:ascii="Liberation Sans" w:hAnsi="Liberation Sans" w:eastAsia="Liberation Serif" w:cs="Liberation Serif"/>
      <w:color w:val="auto"/>
      <w:kern w:val="2"/>
      <w:sz w:val="28"/>
      <w:szCs w:val="24"/>
      <w:lang w:val="hu-HU" w:eastAsia="ar-SA" w:bidi="hi-IN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>
      <w:widowControl/>
      <w:suppressAutoHyphens w:val="true"/>
      <w:bidi w:val="0"/>
      <w:spacing w:lineRule="auto" w:line="276" w:before="0" w:after="140"/>
      <w:jc w:val="start"/>
      <w:textAlignment w:val="auto"/>
    </w:pPr>
    <w:rPr>
      <w:rFonts w:ascii="Times New Roman" w:hAnsi="Times New Roman" w:eastAsia="Liberation Serif" w:cs="Liberation Serif"/>
      <w:color w:val="auto"/>
      <w:kern w:val="2"/>
      <w:sz w:val="24"/>
      <w:szCs w:val="24"/>
      <w:lang w:val="hu-HU" w:eastAsia="ar-SA" w:bidi="hi-IN"/>
    </w:rPr>
  </w:style>
  <w:style w:type="paragraph" w:styleId="Caption">
    <w:name w:val="caption"/>
    <w:basedOn w:val="Normal"/>
    <w:qFormat/>
    <w:pPr>
      <w:widowControl/>
      <w:suppressAutoHyphens w:val="true"/>
      <w:bidi w:val="0"/>
      <w:spacing w:before="120" w:after="120"/>
      <w:jc w:val="start"/>
      <w:textAlignment w:val="auto"/>
    </w:pPr>
    <w:rPr>
      <w:rFonts w:ascii="Times New Roman" w:hAnsi="Times New Roman" w:eastAsia="Liberation Serif" w:cs="Liberation Serif"/>
      <w:i/>
      <w:iCs/>
      <w:color w:val="auto"/>
      <w:kern w:val="2"/>
      <w:sz w:val="24"/>
      <w:szCs w:val="24"/>
      <w:lang w:val="hu-HU" w:eastAsia="ar-SA" w:bidi="hi-IN"/>
    </w:rPr>
  </w:style>
  <w:style w:type="paragraph" w:styleId="Index">
    <w:name w:val="Index"/>
    <w:basedOn w:val="Normal"/>
    <w:qFormat/>
    <w:pPr>
      <w:widowControl/>
      <w:suppressAutoHyphens w:val="true"/>
      <w:bidi w:val="0"/>
      <w:jc w:val="start"/>
      <w:textAlignment w:val="auto"/>
    </w:pPr>
    <w:rPr>
      <w:rFonts w:ascii="Times New Roman" w:hAnsi="Times New Roman" w:eastAsia="Liberation Serif" w:cs="Liberation Serif"/>
      <w:color w:val="auto"/>
      <w:kern w:val="2"/>
      <w:sz w:val="24"/>
      <w:szCs w:val="24"/>
      <w:lang w:val="hu-HU" w:eastAsia="ar-SA" w:bidi="hi-IN"/>
    </w:rPr>
  </w:style>
  <w:style w:type="paragraph" w:styleId="TextBody">
    <w:name w:val="Text Body"/>
    <w:basedOn w:val="Normal"/>
    <w:qFormat/>
    <w:pPr>
      <w:widowControl/>
      <w:suppressAutoHyphens w:val="true"/>
      <w:bidi w:val="0"/>
      <w:spacing w:lineRule="auto" w:line="276" w:before="0" w:after="140"/>
      <w:jc w:val="start"/>
      <w:textAlignment w:val="auto"/>
    </w:pPr>
    <w:rPr>
      <w:rFonts w:ascii="Times New Roman" w:hAnsi="Times New Roman" w:eastAsia="Liberation Serif" w:cs="Liberation Serif"/>
      <w:color w:val="auto"/>
      <w:kern w:val="2"/>
      <w:sz w:val="24"/>
      <w:szCs w:val="24"/>
      <w:lang w:val="hu-HU" w:eastAsia="ar-SA" w:bidi="hi-IN"/>
    </w:rPr>
  </w:style>
  <w:style w:type="paragraph" w:styleId="DocumentMap">
    <w:name w:val="Document Map"/>
    <w:qFormat/>
    <w:pPr>
      <w:widowControl/>
      <w:suppressAutoHyphens w:val="true"/>
      <w:bidi w:val="0"/>
      <w:spacing w:before="0" w:after="0"/>
      <w:jc w:val="start"/>
      <w:textAlignment w:val="auto"/>
    </w:pPr>
    <w:rPr>
      <w:rFonts w:ascii="Times New Roman" w:hAnsi="Times New Roman" w:eastAsia="Liberation Serif" w:cs="Liberation Serif"/>
      <w:color w:val="auto"/>
      <w:kern w:val="2"/>
      <w:sz w:val="20"/>
      <w:szCs w:val="24"/>
      <w:lang w:val="hu-HU" w:eastAsia="hi-IN" w:bidi="hi-IN"/>
    </w:rPr>
  </w:style>
  <w:style w:type="paragraph" w:styleId="ListParagraph">
    <w:name w:val="List Paragraph"/>
    <w:basedOn w:val="Normal"/>
    <w:qFormat/>
    <w:pPr>
      <w:widowControl/>
      <w:suppressAutoHyphens w:val="true"/>
      <w:bidi w:val="0"/>
      <w:spacing w:before="0" w:after="0"/>
      <w:ind w:start="720"/>
      <w:contextualSpacing/>
      <w:jc w:val="start"/>
      <w:textAlignment w:val="auto"/>
    </w:pPr>
    <w:rPr>
      <w:rFonts w:ascii="Times New Roman" w:hAnsi="Times New Roman" w:eastAsia="Liberation Serif" w:cs="Liberation Serif"/>
      <w:color w:val="auto"/>
      <w:kern w:val="2"/>
      <w:sz w:val="24"/>
      <w:szCs w:val="24"/>
      <w:lang w:val="hu-HU" w:eastAsia="ar-SA" w:bidi="hi-IN"/>
    </w:rPr>
  </w:style>
  <w:style w:type="paragraph" w:styleId="TableContents">
    <w:name w:val="Table Contents"/>
    <w:basedOn w:val="Normal"/>
    <w:qFormat/>
    <w:pPr>
      <w:widowControl/>
      <w:suppressAutoHyphens w:val="true"/>
      <w:bidi w:val="0"/>
      <w:jc w:val="start"/>
      <w:textAlignment w:val="auto"/>
    </w:pPr>
    <w:rPr>
      <w:rFonts w:ascii="Times New Roman" w:hAnsi="Times New Roman" w:eastAsia="Liberation Serif" w:cs="Liberation Serif"/>
      <w:color w:val="auto"/>
      <w:kern w:val="2"/>
      <w:sz w:val="24"/>
      <w:szCs w:val="24"/>
      <w:lang w:val="hu-HU" w:eastAsia="ar-SA" w:bidi="hi-IN"/>
    </w:rPr>
  </w:style>
  <w:style w:type="paragraph" w:styleId="TableHeading">
    <w:name w:val="Table Heading"/>
    <w:basedOn w:val="TableContents"/>
    <w:qFormat/>
    <w:pPr>
      <w:widowControl/>
      <w:suppressAutoHyphens w:val="true"/>
      <w:bidi w:val="0"/>
      <w:jc w:val="center"/>
      <w:textAlignment w:val="auto"/>
    </w:pPr>
    <w:rPr>
      <w:rFonts w:ascii="Times New Roman" w:hAnsi="Times New Roman" w:eastAsia="Liberation Serif" w:cs="Liberation Serif"/>
      <w:b/>
      <w:bCs/>
      <w:color w:val="auto"/>
      <w:kern w:val="2"/>
      <w:sz w:val="24"/>
      <w:szCs w:val="24"/>
      <w:lang w:val="hu-HU" w:eastAsia="ar-SA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55</TotalTime>
  <Application>LibreOffice/25.2.2.2$MacOSX_AARCH64 LibreOffice_project/7370d4be9e3cf6031a51beef54ff3bda878e3fac</Application>
  <AppVersion>15.0000</AppVersion>
  <Pages>1</Pages>
  <Words>194</Words>
  <Characters>1274</Characters>
  <CharactersWithSpaces>1435</CharactersWithSpaces>
  <Paragraphs>24</Paragraphs>
  <Company>Philolaos Publishing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2020-07-15T09:20:00Z</dcterms:created>
  <dc:creator>Janos Hardi</dc:creator>
  <dc:description/>
  <dc:language>en-US</dc:language>
  <cp:lastModifiedBy/>
  <dcterms:modified xsi:type="dcterms:W3CDTF">2026-09-03T09:21:15Z</dcterms:modified>
  <cp:revision>9</cp:revision>
  <dc:subject/>
  <dc:title>Syllabus-Minta: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User</vt:lpwstr>
  </property>
</Properties>
</file>